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ook w:val="01E0"/>
      </w:tblPr>
      <w:tblGrid>
        <w:gridCol w:w="6946"/>
        <w:gridCol w:w="1843"/>
      </w:tblGrid>
      <w:tr w:rsidR="000A03B2" w:rsidRPr="006C4805" w:rsidTr="00DE264A">
        <w:trPr>
          <w:trHeight w:val="852"/>
          <w:jc w:val="center"/>
        </w:trPr>
        <w:tc>
          <w:tcPr>
            <w:tcW w:w="6946" w:type="dxa"/>
            <w:vMerge w:val="restart"/>
            <w:tcBorders>
              <w:right w:val="single" w:sz="4" w:space="0" w:color="auto"/>
            </w:tcBorders>
          </w:tcPr>
          <w:p w:rsidR="000A03B2" w:rsidRPr="006C4805" w:rsidRDefault="005B6237" w:rsidP="00DE264A">
            <w:pPr>
              <w:tabs>
                <w:tab w:val="left" w:pos="-108"/>
              </w:tabs>
              <w:ind w:left="-108"/>
              <w:jc w:val="left"/>
              <w:rPr>
                <w:rFonts w:cs="Arial"/>
                <w:b/>
                <w:bCs/>
                <w:i/>
                <w:iCs/>
                <w:color w:val="000066"/>
                <w:sz w:val="12"/>
                <w:szCs w:val="12"/>
                <w:lang w:eastAsia="it-IT"/>
              </w:rPr>
            </w:pPr>
            <w:bookmarkStart w:id="0" w:name="_Hlk155954772"/>
            <w:r w:rsidRPr="006C4805">
              <w:rPr>
                <w:rFonts w:ascii="AdvP6960" w:hAnsi="AdvP6960" w:cs="AdvP6960"/>
                <w:noProof/>
                <w:color w:val="241F20"/>
                <w:szCs w:val="18"/>
                <w:lang w:val="pt-BR" w:eastAsia="pt-BR"/>
              </w:rPr>
              <w:drawing>
                <wp:inline distT="0" distB="0" distL="0" distR="0">
                  <wp:extent cx="638175" cy="371475"/>
                  <wp:effectExtent l="0" t="0" r="0" b="0"/>
                  <wp:docPr id="17"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etlogo"/>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75" cy="371475"/>
                          </a:xfrm>
                          <a:prstGeom prst="rect">
                            <a:avLst/>
                          </a:prstGeom>
                          <a:noFill/>
                          <a:ln>
                            <a:noFill/>
                          </a:ln>
                        </pic:spPr>
                      </pic:pic>
                    </a:graphicData>
                  </a:graphic>
                </wp:inline>
              </w:drawing>
            </w:r>
            <w:r w:rsidR="000A03B2" w:rsidRPr="006C4805">
              <w:rPr>
                <w:rFonts w:ascii="AdvP6960" w:hAnsi="AdvP6960" w:cs="AdvP6960"/>
                <w:color w:val="241F20"/>
                <w:szCs w:val="18"/>
                <w:lang w:eastAsia="it-IT"/>
              </w:rPr>
              <w:t xml:space="preserve"> </w:t>
            </w:r>
            <w:r w:rsidR="000A03B2" w:rsidRPr="006C4805">
              <w:rPr>
                <w:rFonts w:cs="Arial"/>
                <w:b/>
                <w:bCs/>
                <w:i/>
                <w:iCs/>
                <w:color w:val="000066"/>
                <w:sz w:val="24"/>
                <w:szCs w:val="24"/>
                <w:lang w:eastAsia="it-IT"/>
              </w:rPr>
              <w:t>CHEMICAL ENGINEERING</w:t>
            </w:r>
            <w:r w:rsidR="000A03B2" w:rsidRPr="006C4805">
              <w:rPr>
                <w:rFonts w:cs="Arial"/>
                <w:b/>
                <w:bCs/>
                <w:i/>
                <w:iCs/>
                <w:color w:val="0033FF"/>
                <w:sz w:val="24"/>
                <w:szCs w:val="24"/>
                <w:lang w:eastAsia="it-IT"/>
              </w:rPr>
              <w:t xml:space="preserve"> </w:t>
            </w:r>
            <w:r w:rsidR="000A03B2" w:rsidRPr="006C4805">
              <w:rPr>
                <w:rFonts w:cs="Arial"/>
                <w:b/>
                <w:bCs/>
                <w:i/>
                <w:iCs/>
                <w:color w:val="666666"/>
                <w:sz w:val="24"/>
                <w:szCs w:val="24"/>
                <w:lang w:eastAsia="it-IT"/>
              </w:rPr>
              <w:t>TRANSACTIONS</w:t>
            </w:r>
            <w:r w:rsidR="000A03B2" w:rsidRPr="006C4805">
              <w:rPr>
                <w:color w:val="333333"/>
                <w:sz w:val="24"/>
                <w:szCs w:val="24"/>
                <w:lang w:eastAsia="it-IT"/>
              </w:rPr>
              <w:t xml:space="preserve"> </w:t>
            </w:r>
            <w:r w:rsidR="000A03B2" w:rsidRPr="006C4805">
              <w:rPr>
                <w:rFonts w:cs="Arial"/>
                <w:b/>
                <w:bCs/>
                <w:i/>
                <w:iCs/>
                <w:color w:val="000066"/>
                <w:sz w:val="27"/>
                <w:szCs w:val="27"/>
                <w:lang w:eastAsia="it-IT"/>
              </w:rPr>
              <w:br/>
            </w:r>
          </w:p>
          <w:p w:rsidR="000A03B2" w:rsidRPr="006C4805" w:rsidRDefault="00A76EFC" w:rsidP="001D21AF">
            <w:pPr>
              <w:tabs>
                <w:tab w:val="left" w:pos="-108"/>
              </w:tabs>
              <w:ind w:left="-108"/>
              <w:rPr>
                <w:rFonts w:cs="Arial"/>
                <w:b/>
                <w:bCs/>
                <w:i/>
                <w:iCs/>
                <w:color w:val="000066"/>
                <w:sz w:val="22"/>
                <w:szCs w:val="22"/>
                <w:lang w:eastAsia="it-IT"/>
              </w:rPr>
            </w:pPr>
            <w:r w:rsidRPr="006C4805">
              <w:rPr>
                <w:rFonts w:cs="Arial"/>
                <w:b/>
                <w:bCs/>
                <w:i/>
                <w:iCs/>
                <w:color w:val="000066"/>
                <w:sz w:val="22"/>
                <w:szCs w:val="22"/>
                <w:lang w:eastAsia="it-IT"/>
              </w:rPr>
              <w:t>VOL.</w:t>
            </w:r>
            <w:r w:rsidR="00843EAC" w:rsidRPr="006C4805">
              <w:rPr>
                <w:rFonts w:cs="Arial"/>
                <w:b/>
                <w:bCs/>
                <w:i/>
                <w:iCs/>
                <w:color w:val="000066"/>
                <w:sz w:val="22"/>
                <w:szCs w:val="22"/>
                <w:lang w:eastAsia="it-IT"/>
              </w:rPr>
              <w:t xml:space="preserve">    </w:t>
            </w:r>
            <w:r w:rsidR="004761E9" w:rsidRPr="006C4805">
              <w:rPr>
                <w:rFonts w:cs="Arial"/>
                <w:b/>
                <w:bCs/>
                <w:i/>
                <w:iCs/>
                <w:color w:val="000066"/>
                <w:sz w:val="22"/>
                <w:szCs w:val="22"/>
                <w:lang w:eastAsia="it-IT"/>
              </w:rPr>
              <w:t xml:space="preserve"> </w:t>
            </w:r>
            <w:r w:rsidR="007B48F9" w:rsidRPr="006C4805">
              <w:rPr>
                <w:rFonts w:cs="Arial"/>
                <w:b/>
                <w:bCs/>
                <w:i/>
                <w:iCs/>
                <w:color w:val="000066"/>
                <w:sz w:val="22"/>
                <w:szCs w:val="22"/>
                <w:lang w:eastAsia="it-IT"/>
              </w:rPr>
              <w:t>,</w:t>
            </w:r>
            <w:r w:rsidR="00FA5F5F" w:rsidRPr="006C4805">
              <w:rPr>
                <w:rFonts w:cs="Arial"/>
                <w:b/>
                <w:bCs/>
                <w:i/>
                <w:iCs/>
                <w:color w:val="000066"/>
                <w:sz w:val="22"/>
                <w:szCs w:val="22"/>
                <w:lang w:eastAsia="it-IT"/>
              </w:rPr>
              <w:t xml:space="preserve"> </w:t>
            </w:r>
            <w:r w:rsidR="0030152C" w:rsidRPr="006C4805">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rsidR="000A03B2" w:rsidRPr="006C4805" w:rsidRDefault="000A03B2" w:rsidP="00CD5FE2">
            <w:pPr>
              <w:spacing w:line="140" w:lineRule="atLeast"/>
              <w:jc w:val="right"/>
              <w:rPr>
                <w:rFonts w:cs="Arial"/>
                <w:sz w:val="14"/>
                <w:szCs w:val="14"/>
              </w:rPr>
            </w:pPr>
            <w:r w:rsidRPr="006C4805">
              <w:rPr>
                <w:rFonts w:cs="Arial"/>
                <w:sz w:val="14"/>
                <w:szCs w:val="14"/>
              </w:rPr>
              <w:t>A publication of</w:t>
            </w:r>
          </w:p>
          <w:p w:rsidR="000A03B2" w:rsidRPr="006C4805" w:rsidRDefault="005B6237" w:rsidP="00CD5FE2">
            <w:pPr>
              <w:jc w:val="right"/>
            </w:pPr>
            <w:r w:rsidRPr="006C4805">
              <w:rPr>
                <w:noProof/>
                <w:lang w:val="pt-BR" w:eastAsia="pt-BR"/>
              </w:rPr>
              <w:drawing>
                <wp:inline distT="0" distB="0" distL="0" distR="0">
                  <wp:extent cx="671830" cy="357505"/>
                  <wp:effectExtent l="0" t="0" r="0" b="0"/>
                  <wp:docPr id="1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aidiclogo_grande"/>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1830" cy="357505"/>
                          </a:xfrm>
                          <a:prstGeom prst="rect">
                            <a:avLst/>
                          </a:prstGeom>
                          <a:noFill/>
                          <a:ln>
                            <a:noFill/>
                          </a:ln>
                        </pic:spPr>
                      </pic:pic>
                    </a:graphicData>
                  </a:graphic>
                </wp:inline>
              </w:drawing>
            </w:r>
          </w:p>
        </w:tc>
      </w:tr>
      <w:tr w:rsidR="000A03B2" w:rsidRPr="006C4805" w:rsidTr="00DE264A">
        <w:trPr>
          <w:trHeight w:val="567"/>
          <w:jc w:val="center"/>
        </w:trPr>
        <w:tc>
          <w:tcPr>
            <w:tcW w:w="6946" w:type="dxa"/>
            <w:vMerge/>
            <w:tcBorders>
              <w:right w:val="single" w:sz="4" w:space="0" w:color="auto"/>
            </w:tcBorders>
          </w:tcPr>
          <w:p w:rsidR="000A03B2" w:rsidRPr="006C4805" w:rsidRDefault="000A03B2" w:rsidP="00CD5FE2">
            <w:pPr>
              <w:tabs>
                <w:tab w:val="left" w:pos="-108"/>
              </w:tabs>
            </w:pPr>
          </w:p>
        </w:tc>
        <w:tc>
          <w:tcPr>
            <w:tcW w:w="1843" w:type="dxa"/>
            <w:tcBorders>
              <w:left w:val="single" w:sz="4" w:space="0" w:color="auto"/>
              <w:bottom w:val="nil"/>
              <w:right w:val="single" w:sz="4" w:space="0" w:color="auto"/>
            </w:tcBorders>
          </w:tcPr>
          <w:p w:rsidR="000A03B2" w:rsidRPr="006C4805" w:rsidRDefault="000A03B2" w:rsidP="00CD5FE2">
            <w:pPr>
              <w:spacing w:line="140" w:lineRule="atLeast"/>
              <w:jc w:val="right"/>
              <w:rPr>
                <w:rFonts w:cs="Arial"/>
                <w:sz w:val="14"/>
                <w:szCs w:val="14"/>
              </w:rPr>
            </w:pPr>
            <w:r w:rsidRPr="006C4805">
              <w:rPr>
                <w:rFonts w:cs="Arial"/>
                <w:sz w:val="14"/>
                <w:szCs w:val="14"/>
              </w:rPr>
              <w:t>The Italian Association</w:t>
            </w:r>
          </w:p>
          <w:p w:rsidR="000A03B2" w:rsidRPr="006C4805" w:rsidRDefault="000A03B2" w:rsidP="00CD5FE2">
            <w:pPr>
              <w:spacing w:line="140" w:lineRule="atLeast"/>
              <w:jc w:val="right"/>
              <w:rPr>
                <w:rFonts w:cs="Arial"/>
                <w:sz w:val="14"/>
                <w:szCs w:val="14"/>
              </w:rPr>
            </w:pPr>
            <w:r w:rsidRPr="006C4805">
              <w:rPr>
                <w:rFonts w:cs="Arial"/>
                <w:sz w:val="14"/>
                <w:szCs w:val="14"/>
              </w:rPr>
              <w:t>of Chemical Engineering</w:t>
            </w:r>
          </w:p>
          <w:p w:rsidR="000A03B2" w:rsidRPr="006C4805" w:rsidRDefault="000D0268" w:rsidP="00CD5FE2">
            <w:pPr>
              <w:spacing w:line="140" w:lineRule="atLeast"/>
              <w:jc w:val="right"/>
              <w:rPr>
                <w:rFonts w:cs="Arial"/>
                <w:sz w:val="13"/>
                <w:szCs w:val="13"/>
              </w:rPr>
            </w:pPr>
            <w:r w:rsidRPr="006C4805">
              <w:rPr>
                <w:rFonts w:cs="Arial"/>
                <w:sz w:val="13"/>
                <w:szCs w:val="13"/>
              </w:rPr>
              <w:t>Online at www.cetjournal.it</w:t>
            </w:r>
          </w:p>
        </w:tc>
      </w:tr>
      <w:tr w:rsidR="000A03B2" w:rsidRPr="006C4805" w:rsidTr="00DE264A">
        <w:trPr>
          <w:trHeight w:val="68"/>
          <w:jc w:val="center"/>
        </w:trPr>
        <w:tc>
          <w:tcPr>
            <w:tcW w:w="8789" w:type="dxa"/>
            <w:gridSpan w:val="2"/>
          </w:tcPr>
          <w:p w:rsidR="00AA7D26" w:rsidRPr="006C4805" w:rsidRDefault="00AA7D26" w:rsidP="00AA7D26">
            <w:pPr>
              <w:ind w:left="-107"/>
              <w:outlineLvl w:val="2"/>
              <w:rPr>
                <w:rFonts w:ascii="Tahoma" w:hAnsi="Tahoma" w:cs="Tahoma"/>
                <w:bCs/>
                <w:color w:val="000000"/>
                <w:sz w:val="14"/>
                <w:szCs w:val="14"/>
                <w:lang w:eastAsia="it-IT"/>
              </w:rPr>
            </w:pPr>
            <w:r w:rsidRPr="006C4805">
              <w:rPr>
                <w:rFonts w:ascii="Tahoma" w:hAnsi="Tahoma" w:cs="Tahoma"/>
                <w:iCs/>
                <w:color w:val="333333"/>
                <w:sz w:val="14"/>
                <w:szCs w:val="14"/>
                <w:lang w:eastAsia="it-IT"/>
              </w:rPr>
              <w:t>Guest Editors:</w:t>
            </w:r>
            <w:r w:rsidRPr="006C4805">
              <w:rPr>
                <w:rFonts w:ascii="Tahoma" w:hAnsi="Tahoma" w:cs="Tahoma"/>
                <w:color w:val="000000"/>
                <w:sz w:val="14"/>
                <w:szCs w:val="14"/>
                <w:shd w:val="clear" w:color="auto" w:fill="FFFFFF"/>
              </w:rPr>
              <w:t xml:space="preserve"> </w:t>
            </w:r>
            <w:r w:rsidR="006A23E9" w:rsidRPr="006C4805">
              <w:rPr>
                <w:rFonts w:ascii="Tahoma" w:hAnsi="Tahoma" w:cs="Tahoma"/>
                <w:color w:val="000000"/>
                <w:sz w:val="14"/>
                <w:szCs w:val="14"/>
                <w:shd w:val="clear" w:color="auto" w:fill="FFFFFF"/>
              </w:rPr>
              <w:t xml:space="preserve">Leonardo </w:t>
            </w:r>
            <w:proofErr w:type="spellStart"/>
            <w:r w:rsidR="006A23E9" w:rsidRPr="006C4805">
              <w:rPr>
                <w:rFonts w:ascii="Tahoma" w:hAnsi="Tahoma" w:cs="Tahoma"/>
                <w:color w:val="000000"/>
                <w:sz w:val="14"/>
                <w:szCs w:val="14"/>
                <w:shd w:val="clear" w:color="auto" w:fill="FFFFFF"/>
              </w:rPr>
              <w:t>Tognotti</w:t>
            </w:r>
            <w:proofErr w:type="spellEnd"/>
            <w:r w:rsidR="006A23E9" w:rsidRPr="006C4805">
              <w:rPr>
                <w:rFonts w:ascii="Tahoma" w:hAnsi="Tahoma" w:cs="Tahoma"/>
                <w:color w:val="000000"/>
                <w:sz w:val="14"/>
                <w:szCs w:val="14"/>
                <w:shd w:val="clear" w:color="auto" w:fill="FFFFFF"/>
              </w:rPr>
              <w:t xml:space="preserve">, </w:t>
            </w:r>
            <w:r w:rsidR="006A23E9" w:rsidRPr="006C4805">
              <w:rPr>
                <w:rFonts w:ascii="Tahoma" w:hAnsi="Tahoma" w:cs="Tahoma"/>
                <w:color w:val="000000"/>
                <w:sz w:val="14"/>
                <w:szCs w:val="14"/>
              </w:rPr>
              <w:t xml:space="preserve">Rubens </w:t>
            </w:r>
            <w:proofErr w:type="spellStart"/>
            <w:r w:rsidR="006A23E9" w:rsidRPr="006C4805">
              <w:rPr>
                <w:rFonts w:ascii="Tahoma" w:hAnsi="Tahoma" w:cs="Tahoma"/>
                <w:color w:val="000000"/>
                <w:sz w:val="14"/>
                <w:szCs w:val="14"/>
              </w:rPr>
              <w:t>Maciel</w:t>
            </w:r>
            <w:proofErr w:type="spellEnd"/>
            <w:r w:rsidR="006A23E9" w:rsidRPr="006C4805">
              <w:rPr>
                <w:rFonts w:ascii="Tahoma" w:hAnsi="Tahoma" w:cs="Tahoma"/>
                <w:color w:val="000000"/>
                <w:sz w:val="14"/>
                <w:szCs w:val="14"/>
              </w:rPr>
              <w:t xml:space="preserve"> </w:t>
            </w:r>
            <w:proofErr w:type="spellStart"/>
            <w:r w:rsidR="006A23E9" w:rsidRPr="006C4805">
              <w:rPr>
                <w:rFonts w:ascii="Tahoma" w:hAnsi="Tahoma" w:cs="Tahoma"/>
                <w:color w:val="000000"/>
                <w:sz w:val="14"/>
                <w:szCs w:val="14"/>
              </w:rPr>
              <w:t>Filho</w:t>
            </w:r>
            <w:proofErr w:type="spellEnd"/>
            <w:r w:rsidR="006A23E9" w:rsidRPr="006C4805">
              <w:rPr>
                <w:rFonts w:ascii="Tahoma" w:hAnsi="Tahoma" w:cs="Tahoma"/>
                <w:color w:val="000000"/>
                <w:sz w:val="14"/>
                <w:szCs w:val="14"/>
                <w:shd w:val="clear" w:color="auto" w:fill="FFFFFF"/>
              </w:rPr>
              <w:t xml:space="preserve">, </w:t>
            </w:r>
            <w:proofErr w:type="spellStart"/>
            <w:r w:rsidR="006A23E9" w:rsidRPr="006C4805">
              <w:rPr>
                <w:rFonts w:ascii="Tahoma" w:hAnsi="Tahoma" w:cs="Tahoma"/>
                <w:color w:val="000000"/>
                <w:sz w:val="14"/>
                <w:szCs w:val="14"/>
              </w:rPr>
              <w:t>Viatcheslav</w:t>
            </w:r>
            <w:proofErr w:type="spellEnd"/>
            <w:r w:rsidR="006A23E9" w:rsidRPr="006C4805">
              <w:rPr>
                <w:rFonts w:ascii="Tahoma" w:hAnsi="Tahoma" w:cs="Tahoma"/>
                <w:color w:val="000000"/>
                <w:sz w:val="14"/>
                <w:szCs w:val="14"/>
              </w:rPr>
              <w:t xml:space="preserve"> </w:t>
            </w:r>
            <w:proofErr w:type="spellStart"/>
            <w:r w:rsidR="006A23E9" w:rsidRPr="006C4805">
              <w:rPr>
                <w:rFonts w:ascii="Tahoma" w:hAnsi="Tahoma" w:cs="Tahoma"/>
                <w:color w:val="000000"/>
                <w:sz w:val="14"/>
                <w:szCs w:val="14"/>
              </w:rPr>
              <w:t>Kafarov</w:t>
            </w:r>
            <w:proofErr w:type="spellEnd"/>
          </w:p>
          <w:p w:rsidR="000A03B2" w:rsidRPr="006C4805" w:rsidRDefault="00AA7D26" w:rsidP="00AA7D26">
            <w:pPr>
              <w:tabs>
                <w:tab w:val="left" w:pos="-108"/>
              </w:tabs>
              <w:spacing w:line="140" w:lineRule="atLeast"/>
              <w:ind w:left="-107"/>
              <w:jc w:val="left"/>
            </w:pPr>
            <w:r w:rsidRPr="006C4805">
              <w:rPr>
                <w:rFonts w:ascii="Tahoma" w:hAnsi="Tahoma" w:cs="Tahoma"/>
                <w:iCs/>
                <w:color w:val="333333"/>
                <w:sz w:val="14"/>
                <w:szCs w:val="14"/>
                <w:lang w:eastAsia="it-IT"/>
              </w:rPr>
              <w:t>Copyright © 202</w:t>
            </w:r>
            <w:r w:rsidR="00843EAC" w:rsidRPr="006C4805">
              <w:rPr>
                <w:rFonts w:ascii="Tahoma" w:hAnsi="Tahoma" w:cs="Tahoma"/>
                <w:iCs/>
                <w:color w:val="333333"/>
                <w:sz w:val="14"/>
                <w:szCs w:val="14"/>
                <w:lang w:eastAsia="it-IT"/>
              </w:rPr>
              <w:t>4</w:t>
            </w:r>
            <w:r w:rsidRPr="006C4805">
              <w:rPr>
                <w:rFonts w:ascii="Tahoma" w:hAnsi="Tahoma" w:cs="Tahoma"/>
                <w:iCs/>
                <w:color w:val="333333"/>
                <w:sz w:val="14"/>
                <w:szCs w:val="14"/>
                <w:lang w:eastAsia="it-IT"/>
              </w:rPr>
              <w:t xml:space="preserve">, AIDIC </w:t>
            </w:r>
            <w:proofErr w:type="spellStart"/>
            <w:r w:rsidRPr="006C4805">
              <w:rPr>
                <w:rFonts w:ascii="Tahoma" w:hAnsi="Tahoma" w:cs="Tahoma"/>
                <w:iCs/>
                <w:color w:val="333333"/>
                <w:sz w:val="14"/>
                <w:szCs w:val="14"/>
                <w:lang w:eastAsia="it-IT"/>
              </w:rPr>
              <w:t>Servizi</w:t>
            </w:r>
            <w:proofErr w:type="spellEnd"/>
            <w:r w:rsidRPr="006C4805">
              <w:rPr>
                <w:rFonts w:ascii="Tahoma" w:hAnsi="Tahoma" w:cs="Tahoma"/>
                <w:iCs/>
                <w:color w:val="333333"/>
                <w:sz w:val="14"/>
                <w:szCs w:val="14"/>
                <w:lang w:eastAsia="it-IT"/>
              </w:rPr>
              <w:t xml:space="preserve"> </w:t>
            </w:r>
            <w:proofErr w:type="spellStart"/>
            <w:r w:rsidRPr="006C4805">
              <w:rPr>
                <w:rFonts w:ascii="Tahoma" w:hAnsi="Tahoma" w:cs="Tahoma"/>
                <w:iCs/>
                <w:color w:val="333333"/>
                <w:sz w:val="14"/>
                <w:szCs w:val="14"/>
                <w:lang w:eastAsia="it-IT"/>
              </w:rPr>
              <w:t>S.r.l</w:t>
            </w:r>
            <w:proofErr w:type="spellEnd"/>
            <w:r w:rsidRPr="006C4805">
              <w:rPr>
                <w:rFonts w:ascii="Tahoma" w:hAnsi="Tahoma" w:cs="Tahoma"/>
                <w:iCs/>
                <w:color w:val="333333"/>
                <w:sz w:val="14"/>
                <w:szCs w:val="14"/>
                <w:lang w:eastAsia="it-IT"/>
              </w:rPr>
              <w:t>.</w:t>
            </w:r>
            <w:r w:rsidRPr="006C4805">
              <w:rPr>
                <w:rFonts w:ascii="Tahoma" w:hAnsi="Tahoma" w:cs="Tahoma"/>
                <w:iCs/>
                <w:color w:val="333333"/>
                <w:sz w:val="14"/>
                <w:szCs w:val="14"/>
                <w:lang w:eastAsia="it-IT"/>
              </w:rPr>
              <w:br/>
            </w:r>
            <w:r w:rsidRPr="006C4805">
              <w:rPr>
                <w:rFonts w:ascii="Tahoma" w:hAnsi="Tahoma" w:cs="Tahoma"/>
                <w:b/>
                <w:iCs/>
                <w:color w:val="000000"/>
                <w:sz w:val="14"/>
                <w:szCs w:val="14"/>
                <w:lang w:eastAsia="it-IT"/>
              </w:rPr>
              <w:t>ISBN</w:t>
            </w:r>
            <w:r w:rsidRPr="006C4805">
              <w:rPr>
                <w:rFonts w:ascii="Tahoma" w:hAnsi="Tahoma" w:cs="Tahoma"/>
                <w:iCs/>
                <w:color w:val="000000"/>
                <w:sz w:val="14"/>
                <w:szCs w:val="14"/>
                <w:lang w:eastAsia="it-IT"/>
              </w:rPr>
              <w:t xml:space="preserve"> </w:t>
            </w:r>
            <w:r w:rsidR="008B7C03" w:rsidRPr="006C4805">
              <w:rPr>
                <w:rFonts w:ascii="Tahoma" w:hAnsi="Tahoma" w:cs="Tahoma"/>
                <w:sz w:val="14"/>
                <w:szCs w:val="14"/>
              </w:rPr>
              <w:t>979-12-81206</w:t>
            </w:r>
            <w:r w:rsidRPr="006C4805">
              <w:rPr>
                <w:rFonts w:ascii="Tahoma" w:hAnsi="Tahoma" w:cs="Tahoma"/>
                <w:sz w:val="14"/>
                <w:szCs w:val="14"/>
              </w:rPr>
              <w:t>-</w:t>
            </w:r>
            <w:r w:rsidR="00902EDA" w:rsidRPr="006C4805">
              <w:rPr>
                <w:rFonts w:ascii="Tahoma" w:hAnsi="Tahoma" w:cs="Tahoma"/>
                <w:sz w:val="14"/>
                <w:szCs w:val="14"/>
              </w:rPr>
              <w:t>10</w:t>
            </w:r>
            <w:r w:rsidRPr="006C4805">
              <w:rPr>
                <w:rFonts w:ascii="Tahoma" w:hAnsi="Tahoma" w:cs="Tahoma"/>
                <w:sz w:val="14"/>
                <w:szCs w:val="14"/>
              </w:rPr>
              <w:t>-</w:t>
            </w:r>
            <w:r w:rsidR="00902EDA" w:rsidRPr="006C4805">
              <w:rPr>
                <w:rFonts w:ascii="Tahoma" w:hAnsi="Tahoma" w:cs="Tahoma"/>
                <w:sz w:val="14"/>
                <w:szCs w:val="14"/>
              </w:rPr>
              <w:t>1</w:t>
            </w:r>
            <w:r w:rsidRPr="006C4805">
              <w:rPr>
                <w:rFonts w:ascii="Tahoma" w:hAnsi="Tahoma" w:cs="Tahoma"/>
                <w:iCs/>
                <w:color w:val="333333"/>
                <w:sz w:val="14"/>
                <w:szCs w:val="14"/>
                <w:lang w:eastAsia="it-IT"/>
              </w:rPr>
              <w:t xml:space="preserve">; </w:t>
            </w:r>
            <w:r w:rsidRPr="006C4805">
              <w:rPr>
                <w:rFonts w:ascii="Tahoma" w:hAnsi="Tahoma" w:cs="Tahoma"/>
                <w:b/>
                <w:iCs/>
                <w:color w:val="333333"/>
                <w:sz w:val="14"/>
                <w:szCs w:val="14"/>
                <w:lang w:eastAsia="it-IT"/>
              </w:rPr>
              <w:t>ISSN</w:t>
            </w:r>
            <w:r w:rsidRPr="006C4805">
              <w:rPr>
                <w:rFonts w:ascii="Tahoma" w:hAnsi="Tahoma" w:cs="Tahoma"/>
                <w:iCs/>
                <w:color w:val="333333"/>
                <w:sz w:val="14"/>
                <w:szCs w:val="14"/>
                <w:lang w:eastAsia="it-IT"/>
              </w:rPr>
              <w:t xml:space="preserve"> 2283-9216</w:t>
            </w:r>
          </w:p>
        </w:tc>
      </w:tr>
    </w:tbl>
    <w:p w:rsidR="00C96246" w:rsidRPr="006C4805" w:rsidRDefault="00C96246" w:rsidP="00C96246">
      <w:pPr>
        <w:pStyle w:val="CETTitle"/>
      </w:pPr>
      <w:r w:rsidRPr="006C4805">
        <w:t>Study of Niobium as a Catalyst for Conversion of Cellulosic Biomass into Multiple</w:t>
      </w:r>
      <w:r w:rsidR="00A8690C" w:rsidRPr="006C4805">
        <w:t xml:space="preserve"> Value-Added Products in Aqueous Medium</w:t>
      </w:r>
    </w:p>
    <w:p w:rsidR="00B57E6F" w:rsidRPr="006C4805" w:rsidRDefault="00C96246" w:rsidP="00C96246">
      <w:pPr>
        <w:pStyle w:val="CETAuthors"/>
      </w:pPr>
      <w:r w:rsidRPr="006C4805">
        <w:t>Maurino M. Jesus Junior</w:t>
      </w:r>
      <w:r w:rsidRPr="006C4805">
        <w:rPr>
          <w:vertAlign w:val="superscript"/>
        </w:rPr>
        <w:t>a</w:t>
      </w:r>
      <w:r w:rsidRPr="006C4805">
        <w:t>, Fábio Á. Rodrigues</w:t>
      </w:r>
      <w:r w:rsidRPr="006C4805">
        <w:rPr>
          <w:vertAlign w:val="superscript"/>
        </w:rPr>
        <w:t>b</w:t>
      </w:r>
      <w:r w:rsidRPr="006C4805">
        <w:t>, Reginaldo Guirardello</w:t>
      </w:r>
      <w:r w:rsidRPr="006C4805">
        <w:rPr>
          <w:vertAlign w:val="superscript"/>
        </w:rPr>
        <w:t>a,*</w:t>
      </w:r>
    </w:p>
    <w:p w:rsidR="00B57E6F" w:rsidRPr="006C4805" w:rsidRDefault="00B57E6F" w:rsidP="00C96246">
      <w:pPr>
        <w:pStyle w:val="CETAddress"/>
      </w:pPr>
      <w:r w:rsidRPr="006C4805">
        <w:rPr>
          <w:vertAlign w:val="superscript"/>
        </w:rPr>
        <w:t>a</w:t>
      </w:r>
      <w:r w:rsidR="00C96246" w:rsidRPr="006C4805">
        <w:rPr>
          <w:vertAlign w:val="superscript"/>
        </w:rPr>
        <w:t xml:space="preserve"> </w:t>
      </w:r>
      <w:r w:rsidR="00C96246" w:rsidRPr="006C4805">
        <w:t>School of Chemical Engineering, University of Campinas, Av. Albert E</w:t>
      </w:r>
      <w:r w:rsidR="00905A0D">
        <w:t>instein 500, Campinas-SP,</w:t>
      </w:r>
      <w:r w:rsidR="00C96246" w:rsidRPr="006C4805">
        <w:t xml:space="preserve"> 13083-852, Brazil   </w:t>
      </w:r>
    </w:p>
    <w:p w:rsidR="00B57E6F" w:rsidRPr="006C4805" w:rsidRDefault="00B57E6F" w:rsidP="00B57E6F">
      <w:pPr>
        <w:pStyle w:val="CETAddress"/>
      </w:pPr>
      <w:r w:rsidRPr="006C4805">
        <w:rPr>
          <w:vertAlign w:val="superscript"/>
        </w:rPr>
        <w:t>b</w:t>
      </w:r>
      <w:r w:rsidR="00C96246" w:rsidRPr="006C4805">
        <w:t xml:space="preserve"> </w:t>
      </w:r>
      <w:r w:rsidR="00431319">
        <w:t xml:space="preserve">Chemistry </w:t>
      </w:r>
      <w:r w:rsidR="00C96246" w:rsidRPr="006C4805">
        <w:t>Department, Federal University of Viçosa, Viçosa</w:t>
      </w:r>
      <w:r w:rsidR="00905A0D">
        <w:t>-MG,</w:t>
      </w:r>
      <w:r w:rsidR="009079AB">
        <w:t xml:space="preserve"> 36570-900, Brazil</w:t>
      </w:r>
    </w:p>
    <w:p w:rsidR="00A22F8C" w:rsidRPr="006C4805" w:rsidRDefault="00A22F8C" w:rsidP="00A22F8C">
      <w:pPr>
        <w:pStyle w:val="CETemail"/>
      </w:pPr>
      <w:r w:rsidRPr="006C4805">
        <w:t>*guira@feq.unicamp.br</w:t>
      </w:r>
    </w:p>
    <w:p w:rsidR="00D93819" w:rsidRPr="006C4805" w:rsidRDefault="00CA03D5" w:rsidP="00087E74">
      <w:pPr>
        <w:pStyle w:val="CETBodytext"/>
        <w:rPr>
          <w:lang w:val="en-GB"/>
        </w:rPr>
      </w:pPr>
      <w:bookmarkStart w:id="1" w:name="_Hlk155970965"/>
      <w:r w:rsidRPr="006C4805">
        <w:rPr>
          <w:lang w:val="en-GB"/>
        </w:rPr>
        <w:t>This work aimed to evaluate the catalytic activity of the catalysts niobium phosphate (</w:t>
      </w:r>
      <w:proofErr w:type="spellStart"/>
      <w:r w:rsidRPr="006C4805">
        <w:rPr>
          <w:lang w:val="en-GB"/>
        </w:rPr>
        <w:t>PNb</w:t>
      </w:r>
      <w:proofErr w:type="spellEnd"/>
      <w:r w:rsidRPr="006C4805">
        <w:rPr>
          <w:lang w:val="en-GB"/>
        </w:rPr>
        <w:t>), niobium acid (</w:t>
      </w:r>
      <w:proofErr w:type="spellStart"/>
      <w:r w:rsidRPr="006C4805">
        <w:rPr>
          <w:lang w:val="en-GB"/>
        </w:rPr>
        <w:t>HNb</w:t>
      </w:r>
      <w:proofErr w:type="spellEnd"/>
      <w:r w:rsidRPr="006C4805">
        <w:rPr>
          <w:lang w:val="en-GB"/>
        </w:rPr>
        <w:t>) and the 1:1 mechanical mixture of both catalysts (</w:t>
      </w:r>
      <w:proofErr w:type="spellStart"/>
      <w:r w:rsidRPr="006C4805">
        <w:rPr>
          <w:lang w:val="en-GB"/>
        </w:rPr>
        <w:t>HPNb</w:t>
      </w:r>
      <w:proofErr w:type="spellEnd"/>
      <w:r w:rsidRPr="006C4805">
        <w:rPr>
          <w:lang w:val="en-GB"/>
        </w:rPr>
        <w:t xml:space="preserve">) based on the results obtained for the yield of glucose, xylose, 5-hydroxymethylfurfural (HMF) and furfural (FF) using holocellulose, solid material with a high cellulose and hemicellulose content, as raw material. </w:t>
      </w:r>
      <w:r w:rsidR="00D93819" w:rsidRPr="006C4805">
        <w:rPr>
          <w:lang w:val="en-GB"/>
        </w:rPr>
        <w:t>The variables studied were temperature and time between 150 and 200 °C and 0 and 360 min. The reaction mixture consisted of an aqueous solution containing 6% (m/m) holocellulose and a holocellulose/catalyst ratio of 3:1. The highest yield obtained for HMF was 44.8 g/</w:t>
      </w:r>
      <w:r w:rsidR="008A20B6" w:rsidRPr="006C4805">
        <w:rPr>
          <w:lang w:val="en-GB"/>
        </w:rPr>
        <w:t>k</w:t>
      </w:r>
      <w:r w:rsidR="00D93819" w:rsidRPr="006C4805">
        <w:rPr>
          <w:lang w:val="en-GB"/>
        </w:rPr>
        <w:t>g</w:t>
      </w:r>
      <w:r w:rsidRPr="006C4805">
        <w:rPr>
          <w:vertAlign w:val="subscript"/>
          <w:lang w:val="en-GB"/>
        </w:rPr>
        <w:t>(holocellulose)</w:t>
      </w:r>
      <w:r w:rsidR="00D93819" w:rsidRPr="006C4805">
        <w:rPr>
          <w:lang w:val="en-GB"/>
        </w:rPr>
        <w:t xml:space="preserve"> at 200 °C with a reaction time of 60 min. For FF, a 69.8 g/</w:t>
      </w:r>
      <w:r w:rsidR="008A20B6" w:rsidRPr="006C4805">
        <w:rPr>
          <w:lang w:val="en-GB"/>
        </w:rPr>
        <w:t>kg</w:t>
      </w:r>
      <w:r w:rsidRPr="006C4805">
        <w:rPr>
          <w:vertAlign w:val="subscript"/>
          <w:lang w:val="en-GB"/>
        </w:rPr>
        <w:t>(holocellulose)</w:t>
      </w:r>
      <w:r w:rsidR="00D93819" w:rsidRPr="006C4805">
        <w:rPr>
          <w:lang w:val="en-GB"/>
        </w:rPr>
        <w:t xml:space="preserve"> yield was obtained at 200 °C and 90 min. The yields obtained with </w:t>
      </w:r>
      <w:proofErr w:type="spellStart"/>
      <w:r w:rsidR="00D93819" w:rsidRPr="006C4805">
        <w:rPr>
          <w:lang w:val="en-GB"/>
        </w:rPr>
        <w:t>HPNb</w:t>
      </w:r>
      <w:proofErr w:type="spellEnd"/>
      <w:r w:rsidR="00D93819" w:rsidRPr="006C4805">
        <w:rPr>
          <w:lang w:val="en-GB"/>
        </w:rPr>
        <w:t xml:space="preserve"> exhibited intermediate results compared to </w:t>
      </w:r>
      <w:proofErr w:type="spellStart"/>
      <w:r w:rsidR="00D93819" w:rsidRPr="006C4805">
        <w:rPr>
          <w:lang w:val="en-GB"/>
        </w:rPr>
        <w:t>PNb</w:t>
      </w:r>
      <w:proofErr w:type="spellEnd"/>
      <w:r w:rsidR="00D93819" w:rsidRPr="006C4805">
        <w:rPr>
          <w:lang w:val="en-GB"/>
        </w:rPr>
        <w:t xml:space="preserve"> and HMF catalysts, with no significant differences justifying using a mixture of both catalysts.</w:t>
      </w:r>
    </w:p>
    <w:bookmarkEnd w:id="1"/>
    <w:p w:rsidR="00A22F8C" w:rsidRPr="006C4805" w:rsidRDefault="00600535" w:rsidP="00600535">
      <w:pPr>
        <w:pStyle w:val="CETHeading1"/>
        <w:rPr>
          <w:lang w:val="en-GB"/>
        </w:rPr>
      </w:pPr>
      <w:r w:rsidRPr="006C4805">
        <w:rPr>
          <w:lang w:val="en-GB"/>
        </w:rPr>
        <w:t>Introduction</w:t>
      </w:r>
    </w:p>
    <w:p w:rsidR="00F81E44" w:rsidRPr="00061EC3" w:rsidRDefault="00F81E44" w:rsidP="00F81E44">
      <w:pPr>
        <w:pStyle w:val="CETBodytext"/>
      </w:pPr>
      <w:bookmarkStart w:id="2" w:name="_Hlk155954716"/>
      <w:r w:rsidRPr="00061EC3">
        <w:t xml:space="preserve">Converting lignocellulosic biomass in biorefinery processes to produce value-added chemicals is a potential approach to reducing dependence on non-renewable resources (Mika et al., 2018; Fernández-Coppel et al., 2018; Zhang et al., 2022 and Fan et al., 2024). Among the value-added chemicals from biomass are HMF and FF (Bozell and Petersen, 2010; </w:t>
      </w:r>
      <w:proofErr w:type="spellStart"/>
      <w:r w:rsidRPr="00061EC3">
        <w:t>Wataniyakul</w:t>
      </w:r>
      <w:proofErr w:type="spellEnd"/>
      <w:r w:rsidRPr="00061EC3">
        <w:t xml:space="preserve"> et al., 2018; Fan et al., 2018; </w:t>
      </w:r>
      <w:proofErr w:type="spellStart"/>
      <w:r w:rsidRPr="00061EC3">
        <w:t>Catrinck</w:t>
      </w:r>
      <w:proofErr w:type="spellEnd"/>
      <w:r w:rsidRPr="00061EC3">
        <w:t xml:space="preserve"> et al., 2020).</w:t>
      </w:r>
    </w:p>
    <w:p w:rsidR="00F81E44" w:rsidRPr="00061EC3" w:rsidRDefault="00F81E44" w:rsidP="00F81E44">
      <w:pPr>
        <w:pStyle w:val="CETBodytext"/>
      </w:pPr>
      <w:r w:rsidRPr="00061EC3">
        <w:t>In the literature, it is widely recognized that the conversion of carbohydrates into HMF and FF shares the same reaction steps, comprising the isomerization of the monosaccharides and the dehydration of the isomers. Specifically, fructose and glucose are targeted for HMF production, while xylose is destined for FF synthesis (De Carvalho et al., 2018; De Carvalho et al., 2019; De Jesus Junior et al., 2022).</w:t>
      </w:r>
    </w:p>
    <w:p w:rsidR="00F81E44" w:rsidRPr="00061EC3" w:rsidRDefault="00F81E44" w:rsidP="00F81E44">
      <w:pPr>
        <w:pStyle w:val="CETBodytext"/>
      </w:pPr>
      <w:r w:rsidRPr="00061EC3">
        <w:t>Different reaction systems have been explored for the synthesis of HMF and FF. Those using homogeneous catalysts generally achieve high yields of HMF and FF. However, they present operational difficulties related to the recovery and reuse of catalysts, the production of large quantities of aqueous waste, and equipment corrosion. One way to reduce these operational problems is to use heterogeneous catalysts.</w:t>
      </w:r>
    </w:p>
    <w:p w:rsidR="00F81E44" w:rsidRPr="00061EC3" w:rsidRDefault="00F81E44" w:rsidP="00F81E44">
      <w:pPr>
        <w:pStyle w:val="CETBodytext"/>
      </w:pPr>
      <w:r w:rsidRPr="00061EC3">
        <w:t>The application of heterogeneous catalysis stands out for its efficiency, economy, and ability to promote sustainable production. By avoiding toxic solvents and creating milder operating conditions, this form of catalysis contributes to more sustainable chemistry (Rodriguez-Alvarez et al., 2023). However, the limitation of using heterogeneous catalysts lies in the possibility of reduced catalytic activity due to catalyst leaching (Perez and Dumont, 2019).</w:t>
      </w:r>
    </w:p>
    <w:p w:rsidR="00F81E44" w:rsidRPr="00061EC3" w:rsidRDefault="00F81E44" w:rsidP="00F81E44">
      <w:pPr>
        <w:pStyle w:val="CETBodytext"/>
      </w:pPr>
      <w:r w:rsidRPr="00061EC3">
        <w:t>Among the heterogeneous catalysts presented in the literature for the production of HMF and FF, we highlight niobium-based catalysts (niobium acid (</w:t>
      </w:r>
      <w:proofErr w:type="spellStart"/>
      <w:r w:rsidRPr="00061EC3">
        <w:t>HNb</w:t>
      </w:r>
      <w:proofErr w:type="spellEnd"/>
      <w:r w:rsidRPr="00061EC3">
        <w:t>) and niobium phosphate (</w:t>
      </w:r>
      <w:proofErr w:type="spellStart"/>
      <w:r w:rsidRPr="00061EC3">
        <w:t>PNb</w:t>
      </w:r>
      <w:proofErr w:type="spellEnd"/>
      <w:r w:rsidRPr="00061EC3">
        <w:t xml:space="preserve">)). The use of </w:t>
      </w:r>
      <w:proofErr w:type="spellStart"/>
      <w:r w:rsidRPr="00061EC3">
        <w:t>PNb</w:t>
      </w:r>
      <w:proofErr w:type="spellEnd"/>
      <w:r w:rsidRPr="00061EC3">
        <w:t xml:space="preserve"> and </w:t>
      </w:r>
      <w:proofErr w:type="spellStart"/>
      <w:r w:rsidRPr="00061EC3">
        <w:t>HNb</w:t>
      </w:r>
      <w:proofErr w:type="spellEnd"/>
      <w:r w:rsidRPr="00061EC3">
        <w:t xml:space="preserve"> to produce HMF and FF from carbohydrates has already been widely evaluated. Some authors argue that a more effective result is obtained when a 1:1 mixture of </w:t>
      </w:r>
      <w:proofErr w:type="spellStart"/>
      <w:r w:rsidRPr="00061EC3">
        <w:t>HNb</w:t>
      </w:r>
      <w:proofErr w:type="spellEnd"/>
      <w:r w:rsidRPr="00061EC3">
        <w:t xml:space="preserve"> and </w:t>
      </w:r>
      <w:proofErr w:type="spellStart"/>
      <w:r w:rsidRPr="00061EC3">
        <w:t>PNb</w:t>
      </w:r>
      <w:proofErr w:type="spellEnd"/>
      <w:r w:rsidRPr="00061EC3">
        <w:t xml:space="preserve"> (</w:t>
      </w:r>
      <w:proofErr w:type="spellStart"/>
      <w:r w:rsidRPr="00061EC3">
        <w:t>HPNb</w:t>
      </w:r>
      <w:proofErr w:type="spellEnd"/>
      <w:r w:rsidRPr="00061EC3">
        <w:t>) catalysts is used (</w:t>
      </w:r>
      <w:proofErr w:type="spellStart"/>
      <w:r w:rsidRPr="00061EC3">
        <w:t>Catrinck</w:t>
      </w:r>
      <w:proofErr w:type="spellEnd"/>
      <w:r w:rsidRPr="00061EC3">
        <w:t xml:space="preserve"> et al., 2017; De Carvalho et al., 2019).</w:t>
      </w:r>
    </w:p>
    <w:p w:rsidR="00F81E44" w:rsidRPr="006C4805" w:rsidRDefault="00F81E44" w:rsidP="00F81E44">
      <w:pPr>
        <w:pStyle w:val="CETBodytext"/>
      </w:pPr>
      <w:r w:rsidRPr="00061EC3">
        <w:t xml:space="preserve">The catalytic activity of </w:t>
      </w:r>
      <w:proofErr w:type="spellStart"/>
      <w:r w:rsidRPr="00061EC3">
        <w:t>HNb</w:t>
      </w:r>
      <w:proofErr w:type="spellEnd"/>
      <w:r w:rsidRPr="00061EC3">
        <w:t xml:space="preserve"> and </w:t>
      </w:r>
      <w:proofErr w:type="spellStart"/>
      <w:r w:rsidRPr="00061EC3">
        <w:t>PNb</w:t>
      </w:r>
      <w:proofErr w:type="spellEnd"/>
      <w:r w:rsidRPr="00061EC3">
        <w:t xml:space="preserve"> for converting carbohydrates into HMF and FF comes from their acidic surface properties. Both catalysts are amorphous white solids and have surface regions characteristic of Lewis acid, responsible for the isomerization of carbohydrates, and regions characteristic of Bronsted acid, </w:t>
      </w:r>
      <w:r w:rsidRPr="00DF36F3">
        <w:lastRenderedPageBreak/>
        <w:t>responsible for the dehydration of carbohydrates into HMF and FF (</w:t>
      </w:r>
      <w:proofErr w:type="spellStart"/>
      <w:r w:rsidRPr="00DF36F3">
        <w:t>Catrinck</w:t>
      </w:r>
      <w:proofErr w:type="spellEnd"/>
      <w:r w:rsidRPr="00DF36F3">
        <w:t xml:space="preserve"> et al., 2017; Zhang et al., 2015; Nakajima et al., 2011; </w:t>
      </w:r>
      <w:proofErr w:type="spellStart"/>
      <w:r w:rsidRPr="00DF36F3">
        <w:t>Batamack</w:t>
      </w:r>
      <w:proofErr w:type="spellEnd"/>
      <w:r w:rsidRPr="00DF36F3">
        <w:t xml:space="preserve"> et al., 1996).</w:t>
      </w:r>
    </w:p>
    <w:p w:rsidR="00F81E44" w:rsidRPr="006C4805" w:rsidRDefault="00F81E44" w:rsidP="00F81E44">
      <w:pPr>
        <w:pStyle w:val="CETBodytext"/>
      </w:pPr>
      <w:r w:rsidRPr="006C4805">
        <w:t xml:space="preserve">However, using monosaccharides as raw materials for producing </w:t>
      </w:r>
      <w:proofErr w:type="spellStart"/>
      <w:r w:rsidRPr="006C4805">
        <w:t>furanic</w:t>
      </w:r>
      <w:proofErr w:type="spellEnd"/>
      <w:r w:rsidRPr="006C4805">
        <w:t xml:space="preserve"> compounds on an industrial scale is still a limiting factor due to the high cost of raw materials (You et al., 2023). One strategy to reduce the cost of raw materials for the production of HMF and FF is the simultaneous production of both compounds from holocellulose, a low-cost raw material with a high content of glucose (cellulose) and xylose (hemicellulose) obtained from the alkaline pretreatment of lignocellulosic biomass. Few studies have been presented in the literature on the simultaneous production of HMF and FF from holocellulose (Lu et al., 2021; Fan et al., 2023). Therefore, this work aims to evaluate the catalytic activity of </w:t>
      </w:r>
      <w:proofErr w:type="spellStart"/>
      <w:r w:rsidRPr="006C4805">
        <w:t>PNb</w:t>
      </w:r>
      <w:proofErr w:type="spellEnd"/>
      <w:r w:rsidRPr="006C4805">
        <w:t xml:space="preserve">, </w:t>
      </w:r>
      <w:proofErr w:type="spellStart"/>
      <w:r w:rsidRPr="006C4805">
        <w:t>HNb</w:t>
      </w:r>
      <w:proofErr w:type="spellEnd"/>
      <w:r w:rsidRPr="006C4805">
        <w:t xml:space="preserve">, and </w:t>
      </w:r>
      <w:proofErr w:type="spellStart"/>
      <w:r w:rsidRPr="006C4805">
        <w:t>HPNb</w:t>
      </w:r>
      <w:proofErr w:type="spellEnd"/>
      <w:r w:rsidRPr="006C4805">
        <w:t xml:space="preserve"> catalysts for the simultaneous production of HMF and FF from the conversion of holocellulose obtained after the alkaline pretreatment of sugarcane bagasse.</w:t>
      </w:r>
    </w:p>
    <w:bookmarkEnd w:id="2"/>
    <w:p w:rsidR="00B45177" w:rsidRPr="006C4805" w:rsidRDefault="00271593" w:rsidP="00453E24">
      <w:pPr>
        <w:pStyle w:val="CETHeading1"/>
      </w:pPr>
      <w:r w:rsidRPr="006C4805">
        <w:t>Materials and methods</w:t>
      </w:r>
    </w:p>
    <w:p w:rsidR="005A248D" w:rsidRPr="006C4805" w:rsidRDefault="005A248D" w:rsidP="00DD77BF">
      <w:pPr>
        <w:pStyle w:val="CETBodytext"/>
      </w:pPr>
      <w:r w:rsidRPr="006C4805">
        <w:t xml:space="preserve">The components glucose (99.5%), xylose (99.0%), HMF (99.0%) and FF (99.5%) were all purchased from Sigma-Aldrich. </w:t>
      </w:r>
      <w:proofErr w:type="spellStart"/>
      <w:r w:rsidRPr="006C4805">
        <w:t>PNb</w:t>
      </w:r>
      <w:proofErr w:type="spellEnd"/>
      <w:r w:rsidRPr="006C4805">
        <w:t xml:space="preserve"> and </w:t>
      </w:r>
      <w:proofErr w:type="spellStart"/>
      <w:r w:rsidRPr="006C4805">
        <w:t>HNb</w:t>
      </w:r>
      <w:proofErr w:type="spellEnd"/>
      <w:r w:rsidRPr="006C4805">
        <w:t xml:space="preserve"> were supplied by </w:t>
      </w:r>
      <w:bookmarkStart w:id="3" w:name="_Hlk155983710"/>
      <w:proofErr w:type="spellStart"/>
      <w:r w:rsidRPr="006C4805">
        <w:t>Companhia</w:t>
      </w:r>
      <w:proofErr w:type="spellEnd"/>
      <w:r w:rsidRPr="006C4805">
        <w:t xml:space="preserve"> </w:t>
      </w:r>
      <w:proofErr w:type="spellStart"/>
      <w:r w:rsidRPr="006C4805">
        <w:t>Brasileira</w:t>
      </w:r>
      <w:proofErr w:type="spellEnd"/>
      <w:r w:rsidRPr="006C4805">
        <w:t xml:space="preserve"> de </w:t>
      </w:r>
      <w:proofErr w:type="spellStart"/>
      <w:r w:rsidRPr="006C4805">
        <w:t>Metais</w:t>
      </w:r>
      <w:proofErr w:type="spellEnd"/>
      <w:r w:rsidRPr="006C4805">
        <w:t xml:space="preserve"> e </w:t>
      </w:r>
      <w:proofErr w:type="spellStart"/>
      <w:r w:rsidRPr="006C4805">
        <w:t>Metalurgia</w:t>
      </w:r>
      <w:proofErr w:type="spellEnd"/>
      <w:r w:rsidRPr="006C4805">
        <w:t xml:space="preserve"> </w:t>
      </w:r>
      <w:bookmarkEnd w:id="3"/>
      <w:r w:rsidRPr="006C4805">
        <w:t>(CBMM, Brazil).</w:t>
      </w:r>
    </w:p>
    <w:p w:rsidR="005A248D" w:rsidRPr="006C4805" w:rsidRDefault="005A248D" w:rsidP="00DD77BF">
      <w:pPr>
        <w:pStyle w:val="CETBodytext"/>
      </w:pPr>
      <w:r w:rsidRPr="006C4805">
        <w:t>The evaluation of the catalytic activity of niobium-based catalysts (</w:t>
      </w:r>
      <w:proofErr w:type="spellStart"/>
      <w:r w:rsidRPr="006C4805">
        <w:t>HNb</w:t>
      </w:r>
      <w:proofErr w:type="spellEnd"/>
      <w:r w:rsidRPr="006C4805">
        <w:t xml:space="preserve">, </w:t>
      </w:r>
      <w:proofErr w:type="spellStart"/>
      <w:r w:rsidRPr="006C4805">
        <w:t>PNb</w:t>
      </w:r>
      <w:proofErr w:type="spellEnd"/>
      <w:r w:rsidRPr="006C4805">
        <w:t xml:space="preserve">, and </w:t>
      </w:r>
      <w:proofErr w:type="spellStart"/>
      <w:r w:rsidRPr="006C4805">
        <w:t>HPNb</w:t>
      </w:r>
      <w:proofErr w:type="spellEnd"/>
      <w:r w:rsidRPr="006C4805">
        <w:t>) for the production of value-added compounds (HMF and FF) was carried out using as raw material a solid residue rich in cellulose and hemicellulose (holocellulose) obtained in previous work, after alkaline pretreatment of sugarcane bagasse.</w:t>
      </w:r>
    </w:p>
    <w:p w:rsidR="002E1D49" w:rsidRPr="006C4805" w:rsidRDefault="002E1D49" w:rsidP="00DD77BF">
      <w:pPr>
        <w:pStyle w:val="CETBodytext"/>
      </w:pPr>
      <w:r w:rsidRPr="00DF36F3">
        <w:t xml:space="preserve">To analyze the chemical composition of </w:t>
      </w:r>
      <w:r w:rsidR="00BC3F7E">
        <w:t>sugarcane b</w:t>
      </w:r>
      <w:r w:rsidR="00E21332" w:rsidRPr="00DF36F3">
        <w:t xml:space="preserve">agasse </w:t>
      </w:r>
      <w:r w:rsidRPr="00DF36F3">
        <w:t>(</w:t>
      </w:r>
      <w:r w:rsidR="00E21332" w:rsidRPr="00DF36F3">
        <w:t>SCB</w:t>
      </w:r>
      <w:r w:rsidRPr="00DF36F3">
        <w:t>), the total lignin content was calculated as the sum of acid-soluble and insoluble lignin, following the standards outlined in TAPPI UM 250 and TAPPI T 222 om-02. Additionally, the quantification of carbohydrates and ash was determined by SCAN-CM 71:07 [20] and TAPPI T211 om-02.</w:t>
      </w:r>
    </w:p>
    <w:p w:rsidR="005A248D" w:rsidRPr="006C4805" w:rsidRDefault="005A248D" w:rsidP="00DD77BF">
      <w:pPr>
        <w:pStyle w:val="CETBodytext"/>
      </w:pPr>
      <w:r w:rsidRPr="006C4805">
        <w:t>The composition of the raw material contains 73.2±0.5 cellulose, 24.1±0.1 hemicellulose, 1.2±0.1 lignin and 0.65±0.01 ash. The effects of the variables time (</w:t>
      </w:r>
      <w:r w:rsidR="00F6163A" w:rsidRPr="006C4805">
        <w:t>0</w:t>
      </w:r>
      <w:r w:rsidRPr="006C4805">
        <w:t>-360 min) and temperature (150-200 ºC) on the yield of glucose, xylose, HMF, and FF were evaluated univariable for the three catalysts used.</w:t>
      </w:r>
      <w:r w:rsidR="001C6ACC" w:rsidRPr="006C4805">
        <w:t xml:space="preserve"> </w:t>
      </w:r>
      <w:r w:rsidRPr="006C4805">
        <w:t>A Parr 5500 Series reactor with a capacity of 300 mL was used to carry out the catalytic tests. Initially, holocellulose, catalyst, and water were added to the reactor in the pre-established proportions.</w:t>
      </w:r>
    </w:p>
    <w:p w:rsidR="00111F62" w:rsidRDefault="005A248D" w:rsidP="00DD77BF">
      <w:pPr>
        <w:pStyle w:val="CETBodytext"/>
      </w:pPr>
      <w:r w:rsidRPr="006C4805">
        <w:t>The reaction mixture was then purged with nitrogen gas for 10 minutes to reduce the concentration of dissolved reactive gases inside the reactor.</w:t>
      </w:r>
      <w:r w:rsidR="00244A60" w:rsidRPr="006C4805">
        <w:t xml:space="preserve"> </w:t>
      </w:r>
      <w:r w:rsidR="00111F62" w:rsidRPr="006C4805">
        <w:t>At the end of each catalytic test, samples are taken, filtered through a 22 µm filter, and stored at 6°C until analysis.</w:t>
      </w:r>
      <w:r w:rsidR="001C6ACC" w:rsidRPr="006C4805">
        <w:t xml:space="preserve"> </w:t>
      </w:r>
      <w:r w:rsidR="00111F62" w:rsidRPr="006C4805">
        <w:t xml:space="preserve">The compounds in solution were quantified by liquid chromatography (HPLC) using an </w:t>
      </w:r>
      <w:proofErr w:type="spellStart"/>
      <w:r w:rsidR="00111F62" w:rsidRPr="006C4805">
        <w:t>Aminex</w:t>
      </w:r>
      <w:proofErr w:type="spellEnd"/>
      <w:r w:rsidR="00111F62" w:rsidRPr="006C4805">
        <w:t xml:space="preserve"> HPX 87H chromatographic column (300×7.8 mm Bio-Rad) and an aqueous solution of sulfuric acid (6 mM) at 65</w:t>
      </w:r>
      <w:r w:rsidR="009A1CAF" w:rsidRPr="006C4805">
        <w:t xml:space="preserve"> </w:t>
      </w:r>
      <w:r w:rsidR="00111F62" w:rsidRPr="006C4805">
        <w:t>°C and a flow rate of 0.</w:t>
      </w:r>
      <w:r w:rsidR="00F6163A" w:rsidRPr="006C4805">
        <w:t>7</w:t>
      </w:r>
      <w:r w:rsidR="00111F62" w:rsidRPr="006C4805">
        <w:t xml:space="preserve"> mL/min as the mobile phase.</w:t>
      </w:r>
      <w:r w:rsidR="001C6ACC" w:rsidRPr="006C4805">
        <w:t xml:space="preserve"> </w:t>
      </w:r>
      <w:r w:rsidR="00111F62" w:rsidRPr="006C4805">
        <w:t xml:space="preserve">Carbohydrates were quantified using refractive index (RID), and organic acids and </w:t>
      </w:r>
      <w:proofErr w:type="spellStart"/>
      <w:r w:rsidR="00111F62" w:rsidRPr="006C4805">
        <w:t>furanic</w:t>
      </w:r>
      <w:proofErr w:type="spellEnd"/>
      <w:r w:rsidR="00111F62" w:rsidRPr="006C4805">
        <w:t xml:space="preserve"> compounds were determined via serial photodiode array detection (DAD) systems set at 210 nm. </w:t>
      </w:r>
      <w:r w:rsidR="001C6ACC" w:rsidRPr="00DA5D2D">
        <w:t xml:space="preserve">The yields </w:t>
      </w:r>
      <w:r w:rsidR="00FB073F" w:rsidRPr="00DA5D2D">
        <w:t xml:space="preserve">and theoretical yields </w:t>
      </w:r>
      <w:r w:rsidR="001C6ACC" w:rsidRPr="00DA5D2D">
        <w:t>of the quantified compounds were calculated based</w:t>
      </w:r>
      <w:r w:rsidR="00FB073F" w:rsidRPr="00DA5D2D">
        <w:t xml:space="preserve"> on Eq. (1), Eq. (2) and Eq. (3).</w:t>
      </w:r>
    </w:p>
    <w:tbl>
      <w:tblPr>
        <w:tblW w:w="5000" w:type="pct"/>
        <w:tblLook w:val="04A0"/>
      </w:tblPr>
      <w:tblGrid>
        <w:gridCol w:w="8188"/>
        <w:gridCol w:w="815"/>
      </w:tblGrid>
      <w:tr w:rsidR="004841E2" w:rsidRPr="00B57B36" w:rsidTr="004841E2">
        <w:tc>
          <w:tcPr>
            <w:tcW w:w="8188" w:type="dxa"/>
            <w:shd w:val="clear" w:color="auto" w:fill="auto"/>
            <w:vAlign w:val="center"/>
          </w:tcPr>
          <w:p w:rsidR="004841E2" w:rsidRPr="00B57B36" w:rsidRDefault="004841E2" w:rsidP="00345981">
            <w:pPr>
              <w:pStyle w:val="CETEquation"/>
            </w:pPr>
            <m:oMathPara>
              <m:oMathParaPr>
                <m:jc m:val="left"/>
              </m:oMathParaPr>
              <m:oMath>
                <m:r>
                  <m:rPr>
                    <m:nor/>
                  </m:rPr>
                  <w:rPr>
                    <w:rFonts w:ascii="Cambria Math" w:hAnsi="Cambria Math"/>
                    <w:iCs/>
                  </w:rPr>
                  <m:t>Yield</m:t>
                </m:r>
                <m:r>
                  <m:rPr>
                    <m:nor/>
                  </m:rPr>
                  <w:rPr>
                    <w:i/>
                    <w:iCs/>
                  </w:rPr>
                  <m:t>=</m:t>
                </m:r>
                <m:f>
                  <m:fPr>
                    <m:ctrlPr>
                      <w:rPr>
                        <w:rFonts w:ascii="Cambria Math" w:hAnsi="Cambria Math"/>
                        <w:i/>
                        <w:iCs/>
                      </w:rPr>
                    </m:ctrlPr>
                  </m:fPr>
                  <m:num>
                    <m:sSub>
                      <m:sSubPr>
                        <m:ctrlPr>
                          <w:rPr>
                            <w:rFonts w:ascii="Cambria Math" w:hAnsi="Cambria Math"/>
                            <w:i/>
                            <w:iCs/>
                          </w:rPr>
                        </m:ctrlPr>
                      </m:sSubPr>
                      <m:e>
                        <m:r>
                          <w:rPr>
                            <w:rFonts w:ascii="Cambria Math" w:hAnsi="Cambria Math"/>
                          </w:rPr>
                          <m:t>m</m:t>
                        </m:r>
                      </m:e>
                      <m:sub>
                        <m:r>
                          <w:rPr>
                            <w:rFonts w:ascii="Cambria Math" w:hAnsi="Cambria Math"/>
                          </w:rPr>
                          <m:t>X</m:t>
                        </m:r>
                      </m:sub>
                    </m:sSub>
                  </m:num>
                  <m:den>
                    <m:r>
                      <w:rPr>
                        <w:rFonts w:ascii="Cambria Math" w:hAnsi="Cambria Math"/>
                      </w:rPr>
                      <m:t>m</m:t>
                    </m:r>
                  </m:den>
                </m:f>
              </m:oMath>
            </m:oMathPara>
          </w:p>
        </w:tc>
        <w:tc>
          <w:tcPr>
            <w:tcW w:w="815" w:type="dxa"/>
            <w:shd w:val="clear" w:color="auto" w:fill="auto"/>
            <w:vAlign w:val="center"/>
          </w:tcPr>
          <w:p w:rsidR="004841E2" w:rsidRPr="004F6BAE" w:rsidRDefault="004841E2" w:rsidP="00345981">
            <w:pPr>
              <w:pStyle w:val="CETEquation"/>
              <w:jc w:val="right"/>
              <w:rPr>
                <w:rFonts w:ascii="Cambria Math" w:hAnsi="Cambria Math"/>
              </w:rPr>
            </w:pPr>
            <w:r w:rsidRPr="004F6BAE">
              <w:rPr>
                <w:rFonts w:ascii="Cambria Math" w:hAnsi="Cambria Math"/>
              </w:rPr>
              <w:t>(1)</w:t>
            </w:r>
          </w:p>
        </w:tc>
      </w:tr>
      <w:tr w:rsidR="00670129" w:rsidRPr="00B57B36" w:rsidTr="00345981">
        <w:tc>
          <w:tcPr>
            <w:tcW w:w="8188" w:type="dxa"/>
            <w:shd w:val="clear" w:color="auto" w:fill="auto"/>
            <w:vAlign w:val="center"/>
          </w:tcPr>
          <w:p w:rsidR="00670129" w:rsidRPr="00B57B36" w:rsidRDefault="0082725C" w:rsidP="00345981">
            <w:pPr>
              <w:pStyle w:val="CETEquation"/>
            </w:pPr>
            <m:oMathPara>
              <m:oMathParaPr>
                <m:jc m:val="left"/>
              </m:oMathParaPr>
              <m:oMath>
                <m:sSub>
                  <m:sSubPr>
                    <m:ctrlPr>
                      <w:rPr>
                        <w:rFonts w:ascii="Cambria Math" w:hAnsi="Cambria Math" w:cs="Arial"/>
                        <w:i/>
                        <w:iCs/>
                      </w:rPr>
                    </m:ctrlPr>
                  </m:sSubPr>
                  <m:e>
                    <m:r>
                      <m:rPr>
                        <m:nor/>
                      </m:rPr>
                      <w:rPr>
                        <w:rFonts w:ascii="Cambria Math" w:hAnsi="Cambria Math" w:cs="Arial"/>
                        <w:iCs/>
                      </w:rPr>
                      <m:t>Theoretical yield</m:t>
                    </m:r>
                  </m:e>
                  <m:sub>
                    <m:r>
                      <m:rPr>
                        <m:nor/>
                      </m:rPr>
                      <w:rPr>
                        <w:rFonts w:ascii="Cambria Math" w:hAnsi="Cambria Math" w:cs="Arial"/>
                        <w:iCs/>
                      </w:rPr>
                      <m:t>FF</m:t>
                    </m:r>
                  </m:sub>
                </m:sSub>
                <m:r>
                  <m:rPr>
                    <m:nor/>
                  </m:rPr>
                  <w:rPr>
                    <w:rFonts w:cs="Arial"/>
                    <w:i/>
                    <w:iCs/>
                  </w:rPr>
                  <m:t>=</m:t>
                </m:r>
                <m:f>
                  <m:fPr>
                    <m:ctrlPr>
                      <w:rPr>
                        <w:rFonts w:ascii="Cambria Math" w:hAnsi="Cambria Math" w:cs="Arial"/>
                        <w:i/>
                        <w:iCs/>
                      </w:rPr>
                    </m:ctrlPr>
                  </m:fPr>
                  <m:num>
                    <m:sSub>
                      <m:sSubPr>
                        <m:ctrlPr>
                          <w:rPr>
                            <w:rFonts w:ascii="Cambria Math" w:hAnsi="Cambria Math" w:cs="Arial"/>
                            <w:i/>
                            <w:iCs/>
                          </w:rPr>
                        </m:ctrlPr>
                      </m:sSubPr>
                      <m:e>
                        <m:r>
                          <m:rPr>
                            <m:nor/>
                          </m:rPr>
                          <w:rPr>
                            <w:rFonts w:ascii="Cambria Math" w:hAnsi="Cambria Math" w:cs="Arial"/>
                            <w:iCs/>
                          </w:rPr>
                          <m:t>mol</m:t>
                        </m:r>
                      </m:e>
                      <m:sub>
                        <m:r>
                          <m:rPr>
                            <m:nor/>
                          </m:rPr>
                          <w:rPr>
                            <w:rFonts w:ascii="Cambria Math" w:hAnsi="Cambria Math" w:cs="Arial"/>
                            <w:iCs/>
                          </w:rPr>
                          <m:t>FF</m:t>
                        </m:r>
                      </m:sub>
                    </m:sSub>
                    <m:r>
                      <m:rPr>
                        <m:nor/>
                      </m:rPr>
                      <w:rPr>
                        <w:rFonts w:ascii="Cambria Math" w:hAnsi="Cambria Math" w:cs="Arial"/>
                        <w:iCs/>
                      </w:rPr>
                      <m:t xml:space="preserve"> produced </m:t>
                    </m:r>
                  </m:num>
                  <m:den>
                    <m:sSub>
                      <m:sSubPr>
                        <m:ctrlPr>
                          <w:rPr>
                            <w:rFonts w:ascii="Cambria Math" w:hAnsi="Cambria Math" w:cs="Arial"/>
                            <w:i/>
                            <w:iCs/>
                          </w:rPr>
                        </m:ctrlPr>
                      </m:sSubPr>
                      <m:e>
                        <m:r>
                          <m:rPr>
                            <m:nor/>
                          </m:rPr>
                          <w:rPr>
                            <w:rFonts w:ascii="Cambria Math" w:hAnsi="Cambria Math" w:cs="Arial"/>
                            <w:iCs/>
                          </w:rPr>
                          <m:t>mol</m:t>
                        </m:r>
                      </m:e>
                      <m:sub>
                        <m:r>
                          <m:rPr>
                            <m:nor/>
                          </m:rPr>
                          <w:rPr>
                            <w:rFonts w:ascii="Cambria Math" w:hAnsi="Cambria Math" w:cs="Arial"/>
                            <w:iCs/>
                          </w:rPr>
                          <m:t xml:space="preserve">total pentoses units </m:t>
                        </m:r>
                      </m:sub>
                    </m:sSub>
                    <m:r>
                      <m:rPr>
                        <m:nor/>
                      </m:rPr>
                      <w:rPr>
                        <w:rFonts w:ascii="Cambria Math" w:hAnsi="Cambria Math" w:cs="Arial"/>
                        <w:iCs/>
                      </w:rPr>
                      <m:t>in the raw material</m:t>
                    </m:r>
                  </m:den>
                </m:f>
              </m:oMath>
            </m:oMathPara>
          </w:p>
        </w:tc>
        <w:tc>
          <w:tcPr>
            <w:tcW w:w="815" w:type="dxa"/>
            <w:shd w:val="clear" w:color="auto" w:fill="auto"/>
            <w:vAlign w:val="center"/>
          </w:tcPr>
          <w:p w:rsidR="00670129" w:rsidRPr="004F6BAE" w:rsidRDefault="00670129" w:rsidP="00345981">
            <w:pPr>
              <w:pStyle w:val="CETEquation"/>
              <w:jc w:val="right"/>
              <w:rPr>
                <w:rFonts w:ascii="Cambria Math" w:hAnsi="Cambria Math"/>
              </w:rPr>
            </w:pPr>
            <w:r>
              <w:rPr>
                <w:rFonts w:ascii="Cambria Math" w:hAnsi="Cambria Math"/>
              </w:rPr>
              <w:t>(2</w:t>
            </w:r>
            <w:r w:rsidRPr="004F6BAE">
              <w:rPr>
                <w:rFonts w:ascii="Cambria Math" w:hAnsi="Cambria Math"/>
              </w:rPr>
              <w:t>)</w:t>
            </w:r>
          </w:p>
        </w:tc>
      </w:tr>
      <w:tr w:rsidR="00CC0378" w:rsidRPr="00B57B36" w:rsidTr="00C345DF">
        <w:tc>
          <w:tcPr>
            <w:tcW w:w="8188" w:type="dxa"/>
            <w:shd w:val="clear" w:color="auto" w:fill="auto"/>
            <w:vAlign w:val="center"/>
          </w:tcPr>
          <w:p w:rsidR="00CC0378" w:rsidRPr="00B57B36" w:rsidRDefault="0082725C" w:rsidP="00C345DF">
            <w:pPr>
              <w:pStyle w:val="CETEquation"/>
            </w:pPr>
            <m:oMathPara>
              <m:oMathParaPr>
                <m:jc m:val="left"/>
              </m:oMathParaPr>
              <m:oMath>
                <m:sSub>
                  <m:sSubPr>
                    <m:ctrlPr>
                      <w:rPr>
                        <w:rFonts w:ascii="Cambria Math" w:hAnsi="Cambria Math" w:cs="Arial"/>
                        <w:i/>
                        <w:iCs/>
                      </w:rPr>
                    </m:ctrlPr>
                  </m:sSubPr>
                  <m:e>
                    <m:r>
                      <m:rPr>
                        <m:nor/>
                      </m:rPr>
                      <w:rPr>
                        <w:rFonts w:ascii="Cambria Math" w:hAnsi="Cambria Math" w:cs="Arial"/>
                        <w:iCs/>
                      </w:rPr>
                      <m:t>Theoretical yield</m:t>
                    </m:r>
                  </m:e>
                  <m:sub>
                    <m:r>
                      <m:rPr>
                        <m:nor/>
                      </m:rPr>
                      <w:rPr>
                        <w:rFonts w:ascii="Cambria Math" w:hAnsi="Cambria Math" w:cs="Arial"/>
                        <w:iCs/>
                      </w:rPr>
                      <m:t>HMF</m:t>
                    </m:r>
                  </m:sub>
                </m:sSub>
                <m:r>
                  <m:rPr>
                    <m:nor/>
                  </m:rPr>
                  <w:rPr>
                    <w:rFonts w:cs="Arial"/>
                    <w:i/>
                    <w:iCs/>
                  </w:rPr>
                  <m:t>=</m:t>
                </m:r>
                <m:f>
                  <m:fPr>
                    <m:ctrlPr>
                      <w:rPr>
                        <w:rFonts w:ascii="Cambria Math" w:hAnsi="Cambria Math" w:cs="Arial"/>
                        <w:i/>
                        <w:iCs/>
                      </w:rPr>
                    </m:ctrlPr>
                  </m:fPr>
                  <m:num>
                    <m:sSub>
                      <m:sSubPr>
                        <m:ctrlPr>
                          <w:rPr>
                            <w:rFonts w:ascii="Cambria Math" w:hAnsi="Cambria Math" w:cs="Arial"/>
                            <w:i/>
                            <w:iCs/>
                          </w:rPr>
                        </m:ctrlPr>
                      </m:sSubPr>
                      <m:e>
                        <m:r>
                          <m:rPr>
                            <m:nor/>
                          </m:rPr>
                          <w:rPr>
                            <w:rFonts w:ascii="Cambria Math" w:hAnsi="Cambria Math" w:cs="Arial"/>
                            <w:iCs/>
                          </w:rPr>
                          <m:t>mol</m:t>
                        </m:r>
                      </m:e>
                      <m:sub>
                        <m:r>
                          <m:rPr>
                            <m:nor/>
                          </m:rPr>
                          <w:rPr>
                            <w:rFonts w:ascii="Cambria Math" w:hAnsi="Cambria Math" w:cs="Arial"/>
                            <w:iCs/>
                          </w:rPr>
                          <m:t>HMF</m:t>
                        </m:r>
                      </m:sub>
                    </m:sSub>
                    <m:r>
                      <m:rPr>
                        <m:nor/>
                      </m:rPr>
                      <w:rPr>
                        <w:rFonts w:ascii="Cambria Math" w:hAnsi="Cambria Math" w:cs="Arial"/>
                        <w:iCs/>
                      </w:rPr>
                      <m:t xml:space="preserve"> produced </m:t>
                    </m:r>
                  </m:num>
                  <m:den>
                    <m:sSub>
                      <m:sSubPr>
                        <m:ctrlPr>
                          <w:rPr>
                            <w:rFonts w:ascii="Cambria Math" w:hAnsi="Cambria Math" w:cs="Arial"/>
                            <w:i/>
                            <w:iCs/>
                          </w:rPr>
                        </m:ctrlPr>
                      </m:sSubPr>
                      <m:e>
                        <m:r>
                          <m:rPr>
                            <m:nor/>
                          </m:rPr>
                          <w:rPr>
                            <w:rFonts w:ascii="Cambria Math" w:hAnsi="Cambria Math" w:cs="Arial"/>
                            <w:iCs/>
                          </w:rPr>
                          <m:t>mol</m:t>
                        </m:r>
                      </m:e>
                      <m:sub>
                        <m:r>
                          <m:rPr>
                            <m:nor/>
                          </m:rPr>
                          <w:rPr>
                            <w:rFonts w:ascii="Cambria Math" w:hAnsi="Cambria Math" w:cs="Arial"/>
                            <w:iCs/>
                          </w:rPr>
                          <m:t xml:space="preserve">total hexoses units </m:t>
                        </m:r>
                      </m:sub>
                    </m:sSub>
                    <m:r>
                      <m:rPr>
                        <m:nor/>
                      </m:rPr>
                      <w:rPr>
                        <w:rFonts w:ascii="Cambria Math" w:hAnsi="Cambria Math" w:cs="Arial"/>
                        <w:iCs/>
                      </w:rPr>
                      <m:t>in the raw material</m:t>
                    </m:r>
                  </m:den>
                </m:f>
              </m:oMath>
            </m:oMathPara>
          </w:p>
        </w:tc>
        <w:tc>
          <w:tcPr>
            <w:tcW w:w="815" w:type="dxa"/>
            <w:shd w:val="clear" w:color="auto" w:fill="auto"/>
            <w:vAlign w:val="center"/>
          </w:tcPr>
          <w:p w:rsidR="00CC0378" w:rsidRPr="004F6BAE" w:rsidRDefault="00B27ECD" w:rsidP="00C345DF">
            <w:pPr>
              <w:pStyle w:val="CETEquation"/>
              <w:jc w:val="right"/>
              <w:rPr>
                <w:rFonts w:ascii="Cambria Math" w:hAnsi="Cambria Math"/>
              </w:rPr>
            </w:pPr>
            <w:r>
              <w:rPr>
                <w:rFonts w:ascii="Cambria Math" w:hAnsi="Cambria Math"/>
              </w:rPr>
              <w:t>(3</w:t>
            </w:r>
            <w:r w:rsidR="00CC0378" w:rsidRPr="004F6BAE">
              <w:rPr>
                <w:rFonts w:ascii="Cambria Math" w:hAnsi="Cambria Math"/>
              </w:rPr>
              <w:t>)</w:t>
            </w:r>
          </w:p>
        </w:tc>
      </w:tr>
    </w:tbl>
    <w:p w:rsidR="00DE2D76" w:rsidRPr="006C4805" w:rsidRDefault="00D1626F" w:rsidP="008D72D8">
      <w:pPr>
        <w:pStyle w:val="CETBodytext"/>
        <w:rPr>
          <w:rFonts w:cs="Arial"/>
        </w:rPr>
      </w:pPr>
      <w:r>
        <w:rPr>
          <w:rFonts w:cs="Arial"/>
        </w:rPr>
        <w:t>where</w:t>
      </w:r>
      <w:r w:rsidR="00BC1B54" w:rsidRPr="00BC1B54">
        <w:rPr>
          <w:rFonts w:cs="Arial"/>
        </w:rPr>
        <w:t xml:space="preserve"> </w:t>
      </w:r>
      <m:oMath>
        <m:sSub>
          <m:sSubPr>
            <m:ctrlPr>
              <w:rPr>
                <w:rFonts w:ascii="Cambria Math" w:hAnsi="Cambria Math" w:cs="Arial"/>
                <w:i/>
              </w:rPr>
            </m:ctrlPr>
          </m:sSubPr>
          <m:e>
            <m:r>
              <w:rPr>
                <w:rFonts w:ascii="Cambria Math" w:hAnsi="Cambria Math" w:cs="Arial"/>
              </w:rPr>
              <m:t>m</m:t>
            </m:r>
          </m:e>
          <m:sub>
            <m:r>
              <w:rPr>
                <w:rFonts w:ascii="Cambria Math" w:hAnsi="Cambria Math" w:cs="Arial"/>
              </w:rPr>
              <m:t>X</m:t>
            </m:r>
          </m:sub>
        </m:sSub>
      </m:oMath>
      <w:r w:rsidR="00BC1B54">
        <w:rPr>
          <w:rFonts w:cs="Arial"/>
        </w:rPr>
        <w:t xml:space="preserve"> </w:t>
      </w:r>
      <w:r w:rsidR="00BC1B54" w:rsidRPr="006C4805">
        <w:rPr>
          <w:rFonts w:cs="Arial"/>
        </w:rPr>
        <w:t>(g)</w:t>
      </w:r>
      <w:r>
        <w:rPr>
          <w:rFonts w:cs="Arial"/>
        </w:rPr>
        <w:t xml:space="preserve"> </w:t>
      </w:r>
      <w:r w:rsidR="00DE2D76" w:rsidRPr="006C4805">
        <w:rPr>
          <w:rFonts w:cs="Arial"/>
        </w:rPr>
        <w:t xml:space="preserve">is equivalent to the mass of glucose, xylose, HMF or FF, </w:t>
      </w:r>
      <m:oMath>
        <m:r>
          <w:rPr>
            <w:rFonts w:ascii="Cambria Math" w:hAnsi="Cambria Math" w:cs="Arial"/>
          </w:rPr>
          <m:t>m</m:t>
        </m:r>
      </m:oMath>
      <w:r w:rsidR="00BC1B54">
        <w:rPr>
          <w:rFonts w:cs="Arial"/>
        </w:rPr>
        <w:t xml:space="preserve"> (kg)</w:t>
      </w:r>
      <w:r w:rsidR="002D4A30">
        <w:rPr>
          <w:rFonts w:cs="Arial"/>
        </w:rPr>
        <w:t xml:space="preserve"> </w:t>
      </w:r>
      <w:r w:rsidR="00DE2D76" w:rsidRPr="006C4805">
        <w:rPr>
          <w:rFonts w:cs="Arial"/>
        </w:rPr>
        <w:t xml:space="preserve">is the mass of holocellulose </w:t>
      </w:r>
      <w:r w:rsidR="00FE4CD5" w:rsidRPr="006C4805">
        <w:rPr>
          <w:rFonts w:cs="Arial"/>
        </w:rPr>
        <w:t xml:space="preserve">used </w:t>
      </w:r>
      <w:r w:rsidR="00DE2D76" w:rsidRPr="006C4805">
        <w:rPr>
          <w:rFonts w:cs="Arial"/>
        </w:rPr>
        <w:t>(</w:t>
      </w:r>
      <w:r w:rsidR="0095181F">
        <w:rPr>
          <w:rFonts w:cs="Arial"/>
        </w:rPr>
        <w:t xml:space="preserve">in </w:t>
      </w:r>
      <w:r w:rsidR="00DE2D76" w:rsidRPr="006C4805">
        <w:rPr>
          <w:rFonts w:cs="Arial"/>
        </w:rPr>
        <w:t xml:space="preserve">dry basis) in each catalytic </w:t>
      </w:r>
      <w:r w:rsidR="00DE2D76" w:rsidRPr="0095181F">
        <w:rPr>
          <w:rFonts w:cs="Arial"/>
        </w:rPr>
        <w:t>test</w:t>
      </w:r>
      <w:r w:rsidR="00FB073F" w:rsidRPr="0095181F">
        <w:rPr>
          <w:rFonts w:cs="Arial"/>
        </w:rPr>
        <w:t>,</w:t>
      </w:r>
      <w:r w:rsidR="00DE2D76" w:rsidRPr="0095181F">
        <w:rPr>
          <w:rFonts w:cs="Arial"/>
        </w:rPr>
        <w:t xml:space="preserve"> </w:t>
      </w:r>
      <w:r w:rsidR="00993125">
        <w:rPr>
          <w:rFonts w:cs="Arial"/>
        </w:rPr>
        <w:t xml:space="preserve">and </w:t>
      </w:r>
      <w:r w:rsidR="00993125" w:rsidRPr="0095181F">
        <w:rPr>
          <w:rFonts w:cs="Arial"/>
        </w:rPr>
        <w:t>Yield</w:t>
      </w:r>
      <w:r w:rsidR="00993125" w:rsidRPr="006C4805">
        <w:rPr>
          <w:rFonts w:cs="Arial"/>
        </w:rPr>
        <w:t xml:space="preserve"> is the amount of </w:t>
      </w:r>
      <w:r w:rsidR="00DF3603">
        <w:rPr>
          <w:rFonts w:cs="Arial"/>
        </w:rPr>
        <w:t xml:space="preserve">the </w:t>
      </w:r>
      <w:r w:rsidR="00993125" w:rsidRPr="006C4805">
        <w:rPr>
          <w:rFonts w:cs="Arial"/>
        </w:rPr>
        <w:t>compound evaluated per kilogram of holocellulose used</w:t>
      </w:r>
      <w:r w:rsidR="00993125">
        <w:rPr>
          <w:rFonts w:cs="Arial"/>
        </w:rPr>
        <w:t xml:space="preserve"> </w:t>
      </w:r>
      <w:r w:rsidR="00993125" w:rsidRPr="006C4805">
        <w:rPr>
          <w:rFonts w:cs="Arial"/>
        </w:rPr>
        <w:t>(g/kg</w:t>
      </w:r>
      <w:r w:rsidR="00993125" w:rsidRPr="0095181F">
        <w:rPr>
          <w:rFonts w:cs="Arial"/>
        </w:rPr>
        <w:t>)</w:t>
      </w:r>
      <w:r w:rsidR="00DE2D76" w:rsidRPr="0095181F">
        <w:rPr>
          <w:rFonts w:cs="Arial"/>
        </w:rPr>
        <w:t>.</w:t>
      </w:r>
    </w:p>
    <w:p w:rsidR="00B45177" w:rsidRPr="006C4805" w:rsidRDefault="00271593" w:rsidP="00453E24">
      <w:pPr>
        <w:pStyle w:val="CETHeading1"/>
      </w:pPr>
      <w:r w:rsidRPr="006C4805">
        <w:t>Results</w:t>
      </w:r>
    </w:p>
    <w:p w:rsidR="00294C1E" w:rsidRPr="006C4805" w:rsidRDefault="00294C1E" w:rsidP="00605CE7">
      <w:pPr>
        <w:pStyle w:val="CETBodytext"/>
      </w:pPr>
      <w:r w:rsidRPr="006C4805">
        <w:t>The evaluation of holocellulose conversion using niobium-based catalysts (</w:t>
      </w:r>
      <w:proofErr w:type="spellStart"/>
      <w:r w:rsidRPr="006C4805">
        <w:t>HNb</w:t>
      </w:r>
      <w:proofErr w:type="spellEnd"/>
      <w:r w:rsidRPr="006C4805">
        <w:t xml:space="preserve">, </w:t>
      </w:r>
      <w:proofErr w:type="spellStart"/>
      <w:r w:rsidRPr="006C4805">
        <w:t>PNb</w:t>
      </w:r>
      <w:proofErr w:type="spellEnd"/>
      <w:r w:rsidRPr="006C4805">
        <w:t xml:space="preserve">, and </w:t>
      </w:r>
      <w:proofErr w:type="spellStart"/>
      <w:r w:rsidRPr="006C4805">
        <w:t>HPNb</w:t>
      </w:r>
      <w:proofErr w:type="spellEnd"/>
      <w:r w:rsidRPr="006C4805">
        <w:t>) for the yield of glucose, xylose, HMF, and FF was evaluated as a function of temperature and reaction time using 6% holocellulose. The results obtained are shown in Figures 1 and 2.</w:t>
      </w:r>
    </w:p>
    <w:p w:rsidR="00036313" w:rsidRPr="00923862" w:rsidRDefault="00036313" w:rsidP="00036313">
      <w:pPr>
        <w:pStyle w:val="CETBodytext"/>
        <w:rPr>
          <w:noProof/>
        </w:rPr>
      </w:pPr>
      <w:r w:rsidRPr="006C4805">
        <w:rPr>
          <w:noProof/>
        </w:rPr>
        <w:t>Based on the results described in Figures 1 and 2, when evaluating the yield of glucose, xylose, HMF, and FF, the variables time and temperature directly influence the formation of these compounds. The maximum yield of HMF obtained using the PNb, HNb, and HPNb catalysts was 44.8, 39.9, and 40.2 g/kg</w:t>
      </w:r>
      <w:r w:rsidRPr="00923862">
        <w:rPr>
          <w:noProof/>
        </w:rPr>
        <w:t>,</w:t>
      </w:r>
      <w:r w:rsidR="005D3E19" w:rsidRPr="00923862">
        <w:rPr>
          <w:noProof/>
        </w:rPr>
        <w:t xml:space="preserve"> represents a </w:t>
      </w:r>
      <w:r w:rsidR="005D3E19" w:rsidRPr="00923862">
        <w:rPr>
          <w:noProof/>
        </w:rPr>
        <w:lastRenderedPageBreak/>
        <w:t>theoretical yield of 7.6 %, 6.8 % e 6.8%,</w:t>
      </w:r>
      <w:r w:rsidRPr="00923862">
        <w:rPr>
          <w:noProof/>
        </w:rPr>
        <w:t xml:space="preserve"> all obtained at 200 °C and for the respective reaction times (60, 360, and 90 min).</w:t>
      </w:r>
    </w:p>
    <w:p w:rsidR="00E43B79" w:rsidRPr="006C4805" w:rsidRDefault="00036313" w:rsidP="00036313">
      <w:pPr>
        <w:pStyle w:val="CETBodytext"/>
        <w:rPr>
          <w:noProof/>
        </w:rPr>
      </w:pPr>
      <w:r w:rsidRPr="00923862">
        <w:rPr>
          <w:noProof/>
        </w:rPr>
        <w:t>For the FF yield, a maximum yield of 76.7</w:t>
      </w:r>
      <w:r w:rsidR="003C2F39" w:rsidRPr="00923862">
        <w:rPr>
          <w:noProof/>
        </w:rPr>
        <w:t xml:space="preserve">, </w:t>
      </w:r>
      <w:r w:rsidR="005D3E19" w:rsidRPr="00923862">
        <w:rPr>
          <w:noProof/>
        </w:rPr>
        <w:t>40.1</w:t>
      </w:r>
      <w:r w:rsidRPr="00923862">
        <w:rPr>
          <w:noProof/>
        </w:rPr>
        <w:t xml:space="preserve"> g/kg</w:t>
      </w:r>
      <w:r w:rsidR="003C2F39" w:rsidRPr="00923862">
        <w:rPr>
          <w:noProof/>
        </w:rPr>
        <w:t xml:space="preserve"> and </w:t>
      </w:r>
      <w:r w:rsidR="005D3E19" w:rsidRPr="00923862">
        <w:rPr>
          <w:noProof/>
        </w:rPr>
        <w:t>70.6</w:t>
      </w:r>
      <w:r w:rsidR="003C2F39" w:rsidRPr="00923862">
        <w:rPr>
          <w:noProof/>
        </w:rPr>
        <w:t xml:space="preserve"> g/kg</w:t>
      </w:r>
      <w:r w:rsidRPr="00923862">
        <w:rPr>
          <w:noProof/>
        </w:rPr>
        <w:t xml:space="preserve"> was obtained under reaction conditions of 200 °C and reaction times of 30</w:t>
      </w:r>
      <w:r w:rsidR="003C2F39" w:rsidRPr="00923862">
        <w:rPr>
          <w:noProof/>
        </w:rPr>
        <w:t xml:space="preserve">, </w:t>
      </w:r>
      <w:r w:rsidRPr="00923862">
        <w:rPr>
          <w:noProof/>
        </w:rPr>
        <w:t>45</w:t>
      </w:r>
      <w:r w:rsidR="003C2F39" w:rsidRPr="00923862">
        <w:rPr>
          <w:noProof/>
        </w:rPr>
        <w:t xml:space="preserve"> and 45</w:t>
      </w:r>
      <w:r w:rsidRPr="00923862">
        <w:rPr>
          <w:noProof/>
        </w:rPr>
        <w:t xml:space="preserve"> min using the PNb</w:t>
      </w:r>
      <w:r w:rsidR="003C2F39" w:rsidRPr="00923862">
        <w:rPr>
          <w:noProof/>
        </w:rPr>
        <w:t>,</w:t>
      </w:r>
      <w:r w:rsidRPr="00923862">
        <w:rPr>
          <w:noProof/>
        </w:rPr>
        <w:t xml:space="preserve"> </w:t>
      </w:r>
      <w:r w:rsidR="005D3E19" w:rsidRPr="00923862">
        <w:rPr>
          <w:noProof/>
        </w:rPr>
        <w:t>H</w:t>
      </w:r>
      <w:r w:rsidRPr="00923862">
        <w:rPr>
          <w:noProof/>
        </w:rPr>
        <w:t>Nb</w:t>
      </w:r>
      <w:r w:rsidR="003C2F39" w:rsidRPr="00923862">
        <w:rPr>
          <w:noProof/>
        </w:rPr>
        <w:t xml:space="preserve"> and </w:t>
      </w:r>
      <w:r w:rsidR="005D3E19" w:rsidRPr="00923862">
        <w:rPr>
          <w:noProof/>
        </w:rPr>
        <w:t>HP</w:t>
      </w:r>
      <w:r w:rsidR="003C2F39" w:rsidRPr="00923862">
        <w:rPr>
          <w:noProof/>
        </w:rPr>
        <w:t>Nb</w:t>
      </w:r>
      <w:r w:rsidRPr="00923862">
        <w:rPr>
          <w:noProof/>
        </w:rPr>
        <w:t xml:space="preserve"> catalysts</w:t>
      </w:r>
      <w:r w:rsidR="005D3E19" w:rsidRPr="00923862">
        <w:rPr>
          <w:noProof/>
        </w:rPr>
        <w:t>, represents a theoretical yield of 43.8 %, 2</w:t>
      </w:r>
      <w:r w:rsidR="00B026F5" w:rsidRPr="00923862">
        <w:rPr>
          <w:noProof/>
        </w:rPr>
        <w:t>1.2 % e 40.2 %</w:t>
      </w:r>
      <w:r w:rsidRPr="00923862">
        <w:rPr>
          <w:noProof/>
        </w:rPr>
        <w:t xml:space="preserve">. The results highlight a higher kinetic speed and catalytic activity for the PNb catalyst when compared to the HNb and HPNb catalysts. </w:t>
      </w:r>
      <w:r w:rsidR="00EA5EE5" w:rsidRPr="00923862">
        <w:rPr>
          <w:noProof/>
        </w:rPr>
        <w:t xml:space="preserve">When using HPNb, the catalytic activity of PNb to convert holocellulose to HMF and FF surpasses the tendency of HNb, resulting in a maximum FF yield of 70.6 g/kg in 45 min, with no significant difference that would justify using a mixture of both catalysts. </w:t>
      </w:r>
      <w:r w:rsidR="00E43B79" w:rsidRPr="00923862">
        <w:rPr>
          <w:noProof/>
        </w:rPr>
        <w:t>This finding contradicts the results reported by Catrinck et al. (2017) and De Carvalho et al. (2019), where the authors state that in the co-conversion of HMF and FF the use of HPNb as a catalyst produces a more favorable mix of Bronsted and Lewis acidities, facilitating the efficient dehydration of glucose into HMF and xylose into FF compared to each respective catalyst.</w:t>
      </w:r>
    </w:p>
    <w:p w:rsidR="00036313" w:rsidRPr="003E2C4F" w:rsidRDefault="00036313" w:rsidP="003E2C4F">
      <w:pPr>
        <w:pStyle w:val="CETBodytext"/>
        <w:spacing w:line="240" w:lineRule="auto"/>
        <w:rPr>
          <w:noProof/>
        </w:rPr>
      </w:pPr>
      <w:r w:rsidRPr="006C4805">
        <w:rPr>
          <w:noProof/>
        </w:rPr>
        <w:t>Assuming the same catalytic activity for the hydrolysis of holocellulose, due to the similar amount of Lewis acid sites present in the PNb and HNb catalysts presented by Catrinck et al. (2017), the increase in the yield of glucose, xylose, HMF and FF in the reaction medium under milder conditions of time and temperature when using PNb suggests more excellent selectivity for the production of HMF and FF when compared to the results obtained with the other catalysts.</w:t>
      </w:r>
      <w:r w:rsidR="00EA5E3D">
        <w:rPr>
          <w:noProof/>
        </w:rPr>
        <w:t xml:space="preserve"> </w:t>
      </w:r>
    </w:p>
    <w:p w:rsidR="00605CE7" w:rsidRPr="006C4805" w:rsidRDefault="005B6237" w:rsidP="004D359B">
      <w:pPr>
        <w:pStyle w:val="CETBodytext"/>
        <w:spacing w:line="240" w:lineRule="auto"/>
        <w:jc w:val="center"/>
        <w:rPr>
          <w:noProof/>
        </w:rPr>
      </w:pPr>
      <w:r w:rsidRPr="003E2C4F">
        <w:rPr>
          <w:noProof/>
          <w:lang w:val="pt-BR" w:eastAsia="pt-BR"/>
        </w:rPr>
        <w:drawing>
          <wp:inline distT="0" distB="0" distL="0" distR="0">
            <wp:extent cx="2420631" cy="1882775"/>
            <wp:effectExtent l="0" t="0" r="0" b="0"/>
            <wp:docPr id="1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rotWithShape="1">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17"/>
                    <a:stretch/>
                  </pic:blipFill>
                  <pic:spPr bwMode="auto">
                    <a:xfrm>
                      <a:off x="0" y="0"/>
                      <a:ext cx="2420631" cy="1882775"/>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Pr="003E2C4F">
        <w:rPr>
          <w:noProof/>
          <w:lang w:val="pt-BR" w:eastAsia="pt-BR"/>
        </w:rPr>
        <w:drawing>
          <wp:inline distT="0" distB="0" distL="0" distR="0">
            <wp:extent cx="2449852" cy="1868429"/>
            <wp:effectExtent l="0" t="0" r="0" b="0"/>
            <wp:docPr id="1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49852" cy="1868429"/>
                    </a:xfrm>
                    <a:prstGeom prst="rect">
                      <a:avLst/>
                    </a:prstGeom>
                    <a:noFill/>
                    <a:ln>
                      <a:noFill/>
                    </a:ln>
                  </pic:spPr>
                </pic:pic>
              </a:graphicData>
            </a:graphic>
          </wp:inline>
        </w:drawing>
      </w:r>
    </w:p>
    <w:p w:rsidR="000B4356" w:rsidRPr="006C4805" w:rsidRDefault="005B6237" w:rsidP="004D359B">
      <w:pPr>
        <w:pStyle w:val="CETBodytext"/>
        <w:spacing w:line="240" w:lineRule="auto"/>
        <w:jc w:val="center"/>
        <w:rPr>
          <w:noProof/>
        </w:rPr>
      </w:pPr>
      <w:r w:rsidRPr="003E2C4F">
        <w:rPr>
          <w:noProof/>
          <w:lang w:val="pt-BR" w:eastAsia="pt-BR"/>
        </w:rPr>
        <w:drawing>
          <wp:inline distT="0" distB="0" distL="0" distR="0">
            <wp:extent cx="2403695" cy="1862004"/>
            <wp:effectExtent l="0" t="0" r="0" b="0"/>
            <wp:docPr id="1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03587" cy="1939385"/>
                    </a:xfrm>
                    <a:prstGeom prst="rect">
                      <a:avLst/>
                    </a:prstGeom>
                    <a:noFill/>
                    <a:ln>
                      <a:noFill/>
                    </a:ln>
                  </pic:spPr>
                </pic:pic>
              </a:graphicData>
            </a:graphic>
          </wp:inline>
        </w:drawing>
      </w:r>
      <w:r w:rsidR="00306B76">
        <w:rPr>
          <w:noProof/>
        </w:rPr>
        <w:t xml:space="preserve"> </w:t>
      </w:r>
      <w:r w:rsidRPr="003E2C4F">
        <w:rPr>
          <w:noProof/>
          <w:lang w:val="pt-BR" w:eastAsia="pt-BR"/>
        </w:rPr>
        <w:drawing>
          <wp:inline distT="0" distB="0" distL="0" distR="0">
            <wp:extent cx="2425019" cy="1804549"/>
            <wp:effectExtent l="0" t="0" r="0" b="0"/>
            <wp:docPr id="1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rotWithShape="1">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010" b="972"/>
                    <a:stretch/>
                  </pic:blipFill>
                  <pic:spPr bwMode="auto">
                    <a:xfrm>
                      <a:off x="0" y="0"/>
                      <a:ext cx="2522812" cy="1877321"/>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0B4356" w:rsidRPr="006C4805" w:rsidRDefault="005B6237" w:rsidP="004D359B">
      <w:pPr>
        <w:pStyle w:val="CETBodytext"/>
        <w:spacing w:line="240" w:lineRule="auto"/>
        <w:jc w:val="center"/>
        <w:rPr>
          <w:noProof/>
        </w:rPr>
      </w:pPr>
      <w:r w:rsidRPr="003E2C4F">
        <w:rPr>
          <w:noProof/>
          <w:lang w:val="pt-BR" w:eastAsia="pt-BR"/>
        </w:rPr>
        <w:drawing>
          <wp:inline distT="0" distB="0" distL="0" distR="0">
            <wp:extent cx="2379133" cy="1849755"/>
            <wp:effectExtent l="0" t="0" r="0" b="0"/>
            <wp:docPr id="1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rotWithShape="1">
                    <a:blip r:embed="rId1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323" r="700"/>
                    <a:stretch/>
                  </pic:blipFill>
                  <pic:spPr bwMode="auto">
                    <a:xfrm>
                      <a:off x="0" y="0"/>
                      <a:ext cx="2488523" cy="1934805"/>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306B76">
        <w:rPr>
          <w:noProof/>
        </w:rPr>
        <w:t xml:space="preserve"> </w:t>
      </w:r>
      <w:r w:rsidRPr="006C4805">
        <w:rPr>
          <w:noProof/>
          <w:lang w:val="pt-BR" w:eastAsia="pt-BR"/>
        </w:rPr>
        <w:drawing>
          <wp:inline distT="0" distB="0" distL="0" distR="0">
            <wp:extent cx="2424430" cy="1830070"/>
            <wp:effectExtent l="0" t="0" r="0" b="0"/>
            <wp:docPr id="1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rotWithShape="1">
                    <a:blip r:embed="rId1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418" b="1422"/>
                    <a:stretch/>
                  </pic:blipFill>
                  <pic:spPr bwMode="auto">
                    <a:xfrm>
                      <a:off x="0" y="0"/>
                      <a:ext cx="2467483" cy="1862568"/>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94C1E" w:rsidRDefault="00294C1E" w:rsidP="00692627">
      <w:pPr>
        <w:pStyle w:val="CETBodytextItalic"/>
        <w:rPr>
          <w:noProof/>
        </w:rPr>
      </w:pPr>
      <w:r w:rsidRPr="006C4805">
        <w:rPr>
          <w:noProof/>
        </w:rPr>
        <w:t xml:space="preserve">Figure 1: </w:t>
      </w:r>
      <w:r w:rsidR="000B4356" w:rsidRPr="006C4805">
        <w:rPr>
          <w:noProof/>
        </w:rPr>
        <w:t>Yields for glucose and HMF (g/Kg) obtained used catalysts PNb (black rectangles), HNb (red circles), and HPNb (blue triangle) at temperatures of 150°C (A and B), 175°C (C and D) and 200°C (E and F).</w:t>
      </w:r>
    </w:p>
    <w:p w:rsidR="002C64FC" w:rsidRDefault="002C64FC" w:rsidP="00692627">
      <w:pPr>
        <w:pStyle w:val="CETBodytextItalic"/>
        <w:rPr>
          <w:noProof/>
        </w:rPr>
      </w:pPr>
    </w:p>
    <w:p w:rsidR="00701E11" w:rsidRDefault="00776085" w:rsidP="004C1063">
      <w:pPr>
        <w:pStyle w:val="CETBodytextItalic"/>
        <w:spacing w:after="240"/>
        <w:jc w:val="center"/>
        <w:rPr>
          <w:noProof/>
        </w:rPr>
      </w:pPr>
      <w:r w:rsidRPr="00776085">
        <w:rPr>
          <w:noProof/>
          <w:lang w:val="pt-BR" w:eastAsia="pt-BR"/>
        </w:rPr>
        <w:lastRenderedPageBreak/>
        <w:drawing>
          <wp:inline distT="0" distB="0" distL="0" distR="0">
            <wp:extent cx="2441575" cy="1864297"/>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565"/>
                    <a:stretch/>
                  </pic:blipFill>
                  <pic:spPr bwMode="auto">
                    <a:xfrm>
                      <a:off x="0" y="0"/>
                      <a:ext cx="2475270" cy="1890025"/>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88492F" w:rsidRPr="00701E11">
        <w:rPr>
          <w:noProof/>
          <w:lang w:val="pt-BR" w:eastAsia="pt-BR"/>
        </w:rPr>
        <w:drawing>
          <wp:inline distT="0" distB="0" distL="0" distR="0">
            <wp:extent cx="2387600" cy="1900555"/>
            <wp:effectExtent l="0" t="0" r="0" b="0"/>
            <wp:docPr id="51" name="Imagem 50">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F0FB170B-790B-46AB-B0FF-FC7A5B25902D}"/>
                </a:ext>
              </a:extLst>
            </wp:docPr>
            <wp:cNvGraphicFramePr/>
            <a:graphic xmlns:a="http://schemas.openxmlformats.org/drawingml/2006/main">
              <a:graphicData uri="http://schemas.openxmlformats.org/drawingml/2006/picture">
                <pic:pic xmlns:pic="http://schemas.openxmlformats.org/drawingml/2006/picture">
                  <pic:nvPicPr>
                    <pic:cNvPr id="51" name="Imagem 50">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F0FB170B-790B-46AB-B0FF-FC7A5B25902D}"/>
                        </a:ext>
                      </a:extLst>
                    </pic:cNvPr>
                    <pic:cNvPicPr/>
                  </pic:nvPicPr>
                  <pic:blipFill>
                    <a:blip r:embed="rId1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09122" cy="1917687"/>
                    </a:xfrm>
                    <a:prstGeom prst="rect">
                      <a:avLst/>
                    </a:prstGeom>
                    <a:noFill/>
                    <a:ln>
                      <a:noFill/>
                    </a:ln>
                  </pic:spPr>
                </pic:pic>
              </a:graphicData>
            </a:graphic>
          </wp:inline>
        </w:drawing>
      </w:r>
      <w:r w:rsidR="0082725C" w:rsidRPr="0082725C">
        <w:rPr>
          <w:noProof/>
        </w:rPr>
        <w:pict>
          <v:shapetype id="_x0000_t32" coordsize="21600,21600" o:spt="32" o:oned="t" path="m,l21600,21600e" filled="f">
            <v:path arrowok="t" fillok="f" o:connecttype="none"/>
            <o:lock v:ext="edit" shapetype="t"/>
          </v:shapetype>
          <v:shape id="_x0000_s1123" type="#_x0000_t32" style="position:absolute;left:0;text-align:left;margin-left:-313.65pt;margin-top:5.2pt;width:0;height:123.65pt;z-index:251723264;mso-position-horizontal-relative:text;mso-position-vertical-relative:text" o:connectortype="straight"/>
        </w:pict>
      </w:r>
    </w:p>
    <w:p w:rsidR="00701E11" w:rsidRDefault="0082725C" w:rsidP="004D359B">
      <w:pPr>
        <w:pStyle w:val="CETBodytextItalic"/>
        <w:spacing w:after="240"/>
        <w:jc w:val="center"/>
        <w:rPr>
          <w:noProof/>
        </w:rPr>
      </w:pPr>
      <w:r w:rsidRPr="0082725C">
        <w:rPr>
          <w:noProof/>
        </w:rPr>
        <w:pict>
          <v:shape id="_x0000_s1126" type="#_x0000_t32" style="position:absolute;left:0;text-align:left;margin-left:-216.5pt;margin-top:6.15pt;width:0;height:414.1pt;z-index:251726336" o:connectortype="straight"/>
        </w:pict>
      </w:r>
      <w:r w:rsidRPr="0082725C">
        <w:rPr>
          <w:noProof/>
        </w:rPr>
        <w:pict>
          <v:shape id="_x0000_s1127" type="#_x0000_t32" style="position:absolute;left:0;text-align:left;margin-left:-182.65pt;margin-top:6.15pt;width:0;height:406.95pt;z-index:251727360" o:connectortype="straight"/>
        </w:pict>
      </w:r>
      <w:r w:rsidRPr="0082725C">
        <w:rPr>
          <w:noProof/>
        </w:rPr>
        <w:pict>
          <v:shape id="_x0000_s1125" type="#_x0000_t32" style="position:absolute;left:0;text-align:left;margin-left:-387.5pt;margin-top:1pt;width:0;height:400.7pt;z-index:251725312" o:connectortype="straight"/>
        </w:pict>
      </w:r>
      <w:r w:rsidRPr="0082725C">
        <w:rPr>
          <w:noProof/>
        </w:rPr>
        <w:pict>
          <v:shape id="_x0000_s1105" type="#_x0000_t32" style="position:absolute;left:0;text-align:left;margin-left:-387.5pt;margin-top:8.85pt;width:170.6pt;height:.05pt;flip:y;z-index:251678720" o:connectortype="straight"/>
        </w:pict>
      </w:r>
      <w:r w:rsidR="004A6134" w:rsidRPr="00701E11">
        <w:rPr>
          <w:noProof/>
          <w:lang w:val="pt-BR" w:eastAsia="pt-BR"/>
        </w:rPr>
        <w:drawing>
          <wp:inline distT="0" distB="0" distL="0" distR="0">
            <wp:extent cx="2416175" cy="1839426"/>
            <wp:effectExtent l="0" t="0" r="0" b="0"/>
            <wp:docPr id="52" name="Imagem 5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768A581D-4D9C-4FBC-A24C-3345A812DB0C}"/>
                </a:ext>
              </a:extLst>
            </wp:docPr>
            <wp:cNvGraphicFramePr/>
            <a:graphic xmlns:a="http://schemas.openxmlformats.org/drawingml/2006/main">
              <a:graphicData uri="http://schemas.openxmlformats.org/drawingml/2006/picture">
                <pic:pic xmlns:pic="http://schemas.openxmlformats.org/drawingml/2006/picture">
                  <pic:nvPicPr>
                    <pic:cNvPr id="52" name="Imagem 51">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768A581D-4D9C-4FBC-A24C-3345A812DB0C}"/>
                        </a:ext>
                      </a:extLst>
                    </pic:cNvPr>
                    <pic:cNvPicPr/>
                  </pic:nvPicPr>
                  <pic:blipFill rotWithShape="1">
                    <a:blip r:embed="rId1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369" t="1488" b="969"/>
                    <a:stretch/>
                  </pic:blipFill>
                  <pic:spPr bwMode="auto">
                    <a:xfrm>
                      <a:off x="0" y="0"/>
                      <a:ext cx="2416175" cy="1839426"/>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88492F" w:rsidRPr="00701E11">
        <w:rPr>
          <w:noProof/>
          <w:lang w:val="pt-BR" w:eastAsia="pt-BR"/>
        </w:rPr>
        <w:drawing>
          <wp:inline distT="0" distB="0" distL="0" distR="0">
            <wp:extent cx="2410066" cy="1839088"/>
            <wp:effectExtent l="0" t="0" r="0" b="0"/>
            <wp:docPr id="53" name="Imagem 52">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EF7FD0F6-4E6C-45B3-A567-4DE0B9429AFC}"/>
                </a:ext>
              </a:extLst>
            </wp:docPr>
            <wp:cNvGraphicFramePr/>
            <a:graphic xmlns:a="http://schemas.openxmlformats.org/drawingml/2006/main">
              <a:graphicData uri="http://schemas.openxmlformats.org/drawingml/2006/picture">
                <pic:pic xmlns:pic="http://schemas.openxmlformats.org/drawingml/2006/picture">
                  <pic:nvPicPr>
                    <pic:cNvPr id="53" name="Imagem 52">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EF7FD0F6-4E6C-45B3-A567-4DE0B9429AFC}"/>
                        </a:ext>
                      </a:extLst>
                    </pic:cNvPr>
                    <pic:cNvPicPr/>
                  </pic:nvPicPr>
                  <pic:blipFill rotWithShape="1">
                    <a:blip r:embed="rId1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084"/>
                    <a:stretch/>
                  </pic:blipFill>
                  <pic:spPr bwMode="auto">
                    <a:xfrm>
                      <a:off x="0" y="0"/>
                      <a:ext cx="2726988" cy="2080927"/>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Pr="0082725C">
        <w:rPr>
          <w:noProof/>
        </w:rPr>
        <w:pict>
          <v:shape id="_x0000_s1121" type="#_x0000_t32" style="position:absolute;left:0;text-align:left;margin-left:-303.75pt;margin-top:4.95pt;width:0;height:123.65pt;z-index:251721216;mso-position-horizontal-relative:text;mso-position-vertical-relative:text" o:connectortype="straight"/>
        </w:pict>
      </w:r>
    </w:p>
    <w:p w:rsidR="00701E11" w:rsidRDefault="004A6134" w:rsidP="00776085">
      <w:pPr>
        <w:pStyle w:val="CETBodytextItalic"/>
        <w:jc w:val="center"/>
        <w:rPr>
          <w:noProof/>
        </w:rPr>
      </w:pPr>
      <w:r w:rsidRPr="00701E11">
        <w:rPr>
          <w:noProof/>
          <w:lang w:val="pt-BR" w:eastAsia="pt-BR"/>
        </w:rPr>
        <w:drawing>
          <wp:inline distT="0" distB="0" distL="0" distR="0">
            <wp:extent cx="2407127" cy="1874697"/>
            <wp:effectExtent l="0" t="0" r="0" b="0"/>
            <wp:docPr id="56" name="Imagem 55">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E000D83D-B55E-4099-9502-48C4E4E659F5}"/>
                </a:ext>
              </a:extLst>
            </wp:docPr>
            <wp:cNvGraphicFramePr/>
            <a:graphic xmlns:a="http://schemas.openxmlformats.org/drawingml/2006/main">
              <a:graphicData uri="http://schemas.openxmlformats.org/drawingml/2006/picture">
                <pic:pic xmlns:pic="http://schemas.openxmlformats.org/drawingml/2006/picture">
                  <pic:nvPicPr>
                    <pic:cNvPr id="56" name="Imagem 55">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E000D83D-B55E-4099-9502-48C4E4E659F5}"/>
                        </a:ext>
                      </a:extLst>
                    </pic:cNvPr>
                    <pic:cNvPicPr/>
                  </pic:nvPicPr>
                  <pic:blipFill rotWithShape="1">
                    <a:blip r:embed="rId2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60"/>
                    <a:stretch/>
                  </pic:blipFill>
                  <pic:spPr bwMode="auto">
                    <a:xfrm>
                      <a:off x="0" y="0"/>
                      <a:ext cx="2407127" cy="1874697"/>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88492F" w:rsidRPr="00701E11">
        <w:rPr>
          <w:noProof/>
          <w:lang w:val="pt-BR" w:eastAsia="pt-BR"/>
        </w:rPr>
        <w:drawing>
          <wp:inline distT="0" distB="0" distL="0" distR="0">
            <wp:extent cx="2409428" cy="1882986"/>
            <wp:effectExtent l="0" t="0" r="0" b="0"/>
            <wp:docPr id="57" name="Imagem 56">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B8611214-5312-4D82-87E0-A46ADBB131E7}"/>
                </a:ext>
              </a:extLst>
            </wp:docPr>
            <wp:cNvGraphicFramePr/>
            <a:graphic xmlns:a="http://schemas.openxmlformats.org/drawingml/2006/main">
              <a:graphicData uri="http://schemas.openxmlformats.org/drawingml/2006/picture">
                <pic:pic xmlns:pic="http://schemas.openxmlformats.org/drawingml/2006/picture">
                  <pic:nvPicPr>
                    <pic:cNvPr id="57" name="Imagem 56">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B8611214-5312-4D82-87E0-A46ADBB131E7}"/>
                        </a:ext>
                      </a:extLst>
                    </pic:cNvPr>
                    <pic:cNvPicPr/>
                  </pic:nvPicPr>
                  <pic:blipFill rotWithShape="1">
                    <a:blip r:embed="rId2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488"/>
                    <a:stretch/>
                  </pic:blipFill>
                  <pic:spPr bwMode="auto">
                    <a:xfrm>
                      <a:off x="0" y="0"/>
                      <a:ext cx="2452152" cy="1916375"/>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94C1E" w:rsidRPr="006C4805" w:rsidRDefault="00294C1E" w:rsidP="00692627">
      <w:pPr>
        <w:pStyle w:val="CETBodytextItalic"/>
        <w:rPr>
          <w:noProof/>
        </w:rPr>
      </w:pPr>
      <w:r w:rsidRPr="006C4805">
        <w:rPr>
          <w:noProof/>
        </w:rPr>
        <w:t xml:space="preserve">Figure 2: </w:t>
      </w:r>
      <w:r w:rsidR="00AC2CDC" w:rsidRPr="006C4805">
        <w:rPr>
          <w:noProof/>
        </w:rPr>
        <w:t xml:space="preserve">Yields for </w:t>
      </w:r>
      <w:r w:rsidRPr="006C4805">
        <w:rPr>
          <w:noProof/>
        </w:rPr>
        <w:t xml:space="preserve">xylose and FF </w:t>
      </w:r>
      <w:r w:rsidR="00AC2CDC" w:rsidRPr="006C4805">
        <w:rPr>
          <w:noProof/>
        </w:rPr>
        <w:t xml:space="preserve">(g/Kg) obtained used catalysts </w:t>
      </w:r>
      <w:r w:rsidRPr="006C4805">
        <w:rPr>
          <w:noProof/>
        </w:rPr>
        <w:t>PNb (black rectangles), HNb (red circles), and HPNb (blue triangle) at temperatures of 150°C (A and B), 175°C (C and D) and 200°C (E and F).</w:t>
      </w:r>
    </w:p>
    <w:p w:rsidR="008B1A9E" w:rsidRPr="006C4805" w:rsidRDefault="008B1A9E" w:rsidP="008B1A9E">
      <w:pPr>
        <w:pStyle w:val="CETBodytext"/>
        <w:rPr>
          <w:lang w:val="en-GB"/>
        </w:rPr>
      </w:pPr>
    </w:p>
    <w:p w:rsidR="004E4DFF" w:rsidRPr="006C4805" w:rsidRDefault="008B1A9E" w:rsidP="00E43B79">
      <w:pPr>
        <w:pStyle w:val="CETBodytext"/>
        <w:rPr>
          <w:lang w:val="en-GB"/>
        </w:rPr>
      </w:pPr>
      <w:r w:rsidRPr="001F18B3">
        <w:rPr>
          <w:lang w:val="en-GB"/>
        </w:rPr>
        <w:t xml:space="preserve">When comparing the theoretical yields obtained in this study with the literature data presented by </w:t>
      </w:r>
      <w:proofErr w:type="spellStart"/>
      <w:r w:rsidRPr="001F18B3">
        <w:rPr>
          <w:lang w:val="en-GB"/>
        </w:rPr>
        <w:t>Catrin</w:t>
      </w:r>
      <w:r w:rsidR="00982C99">
        <w:rPr>
          <w:lang w:val="en-GB"/>
        </w:rPr>
        <w:t>c</w:t>
      </w:r>
      <w:r w:rsidRPr="001F18B3">
        <w:rPr>
          <w:lang w:val="en-GB"/>
        </w:rPr>
        <w:t>k</w:t>
      </w:r>
      <w:proofErr w:type="spellEnd"/>
      <w:r w:rsidRPr="001F18B3">
        <w:rPr>
          <w:lang w:val="en-GB"/>
        </w:rPr>
        <w:t xml:space="preserve"> et al. (2020), Table 1, regarding the production of HMF and FF from sugarcane bagasse in aqueous media using niobium-based catalysts, it was possible to obtain higher yields of the products when using holocellulose. In addition, these results were achieved using a smaller amount of catalyst and shorter reaction times. This superior performance can be attributed to the use of higher conditions for temperature and feedstock content in this work. Given this, the strategy of producing HMF and FF using niobium-based catalysts from holocellulose shows potential for becoming a biorefinery technology. However, we stress the need for further work to assess the economic viability of this process.</w:t>
      </w:r>
    </w:p>
    <w:p w:rsidR="004E4DFF" w:rsidRPr="006C4805" w:rsidRDefault="004E4DFF" w:rsidP="00E43B79">
      <w:pPr>
        <w:pStyle w:val="CETBodytext"/>
        <w:rPr>
          <w:lang w:val="en-GB"/>
        </w:rPr>
      </w:pPr>
    </w:p>
    <w:p w:rsidR="004E4DFF" w:rsidRPr="006C4805" w:rsidRDefault="004E4DFF" w:rsidP="00E43B79">
      <w:pPr>
        <w:pStyle w:val="CETBodytext"/>
        <w:rPr>
          <w:lang w:val="en-GB"/>
        </w:rPr>
      </w:pPr>
    </w:p>
    <w:p w:rsidR="004E4DFF" w:rsidRPr="006C4805" w:rsidRDefault="004E4DFF" w:rsidP="00E43B79">
      <w:pPr>
        <w:pStyle w:val="CETBodytext"/>
        <w:rPr>
          <w:lang w:val="en-GB"/>
        </w:rPr>
      </w:pPr>
    </w:p>
    <w:p w:rsidR="004E4DFF" w:rsidRPr="006C4805" w:rsidRDefault="004E4DFF" w:rsidP="00E43B79">
      <w:pPr>
        <w:pStyle w:val="CETBodytext"/>
        <w:rPr>
          <w:lang w:val="en-GB"/>
        </w:rPr>
      </w:pPr>
    </w:p>
    <w:p w:rsidR="00EA4CEA" w:rsidRPr="006C4805" w:rsidRDefault="00EA4CEA" w:rsidP="00EA4CEA">
      <w:pPr>
        <w:pStyle w:val="CETTabletitle"/>
      </w:pPr>
      <w:r w:rsidRPr="006C4805">
        <w:lastRenderedPageBreak/>
        <w:t xml:space="preserve">Table 1: </w:t>
      </w:r>
      <w:r w:rsidR="00961F49" w:rsidRPr="006C4805">
        <w:t>Yield of HMF and FF from different raw materials.</w:t>
      </w:r>
    </w:p>
    <w:tbl>
      <w:tblPr>
        <w:tblW w:w="8789" w:type="dxa"/>
        <w:tblBorders>
          <w:top w:val="single" w:sz="12" w:space="0" w:color="008000"/>
          <w:bottom w:val="single" w:sz="12" w:space="0" w:color="008000"/>
        </w:tblBorders>
        <w:shd w:val="clear" w:color="auto" w:fill="FFFFFF"/>
        <w:tblLayout w:type="fixed"/>
        <w:tblCellMar>
          <w:left w:w="0" w:type="dxa"/>
          <w:right w:w="0" w:type="dxa"/>
        </w:tblCellMar>
        <w:tblLook w:val="00A0"/>
      </w:tblPr>
      <w:tblGrid>
        <w:gridCol w:w="1032"/>
        <w:gridCol w:w="1367"/>
        <w:gridCol w:w="1407"/>
        <w:gridCol w:w="480"/>
        <w:gridCol w:w="846"/>
        <w:gridCol w:w="1124"/>
        <w:gridCol w:w="690"/>
        <w:gridCol w:w="1843"/>
      </w:tblGrid>
      <w:tr w:rsidR="00961F49" w:rsidRPr="000541B8" w:rsidTr="00982C99">
        <w:trPr>
          <w:trHeight w:val="113"/>
        </w:trPr>
        <w:tc>
          <w:tcPr>
            <w:tcW w:w="1032" w:type="dxa"/>
            <w:vMerge w:val="restart"/>
            <w:tcBorders>
              <w:top w:val="single" w:sz="12" w:space="0" w:color="008000"/>
            </w:tcBorders>
            <w:shd w:val="clear" w:color="auto" w:fill="FFFFFF"/>
            <w:vAlign w:val="center"/>
          </w:tcPr>
          <w:p w:rsidR="00EA4CEA" w:rsidRPr="000541B8" w:rsidRDefault="00961F49" w:rsidP="00EA4CEA">
            <w:pPr>
              <w:pStyle w:val="CETBodytext"/>
              <w:jc w:val="center"/>
              <w:rPr>
                <w:lang w:val="en-GB"/>
              </w:rPr>
            </w:pPr>
            <w:r w:rsidRPr="000541B8">
              <w:rPr>
                <w:lang w:val="en-GB"/>
              </w:rPr>
              <w:t>RM</w:t>
            </w:r>
          </w:p>
        </w:tc>
        <w:tc>
          <w:tcPr>
            <w:tcW w:w="1367" w:type="dxa"/>
            <w:vMerge w:val="restart"/>
            <w:tcBorders>
              <w:top w:val="single" w:sz="12" w:space="0" w:color="008000"/>
            </w:tcBorders>
            <w:shd w:val="clear" w:color="auto" w:fill="FFFFFF"/>
            <w:vAlign w:val="center"/>
          </w:tcPr>
          <w:p w:rsidR="00EA4CEA" w:rsidRPr="000541B8" w:rsidRDefault="00961F49" w:rsidP="00EA4CEA">
            <w:pPr>
              <w:pStyle w:val="CETBodytext"/>
              <w:jc w:val="center"/>
              <w:rPr>
                <w:lang w:val="en-GB"/>
              </w:rPr>
            </w:pPr>
            <w:r w:rsidRPr="000541B8">
              <w:rPr>
                <w:lang w:val="en-GB"/>
              </w:rPr>
              <w:t>RM</w:t>
            </w:r>
            <w:r w:rsidR="00EA4CEA" w:rsidRPr="000541B8">
              <w:rPr>
                <w:lang w:val="en-GB"/>
              </w:rPr>
              <w:t xml:space="preserve"> content (%)</w:t>
            </w:r>
          </w:p>
        </w:tc>
        <w:tc>
          <w:tcPr>
            <w:tcW w:w="1407" w:type="dxa"/>
            <w:vMerge w:val="restart"/>
            <w:tcBorders>
              <w:top w:val="single" w:sz="12" w:space="0" w:color="008000"/>
            </w:tcBorders>
            <w:shd w:val="clear" w:color="auto" w:fill="FFFFFF"/>
            <w:vAlign w:val="center"/>
          </w:tcPr>
          <w:p w:rsidR="00EA4CEA" w:rsidRPr="000541B8" w:rsidRDefault="00EA4CEA" w:rsidP="00EA4CEA">
            <w:pPr>
              <w:pStyle w:val="CETBodytext"/>
              <w:jc w:val="center"/>
              <w:rPr>
                <w:lang w:val="en-GB"/>
              </w:rPr>
            </w:pPr>
            <w:r w:rsidRPr="000541B8">
              <w:rPr>
                <w:lang w:val="en-GB"/>
              </w:rPr>
              <w:t>Reaction condition</w:t>
            </w:r>
          </w:p>
        </w:tc>
        <w:tc>
          <w:tcPr>
            <w:tcW w:w="480" w:type="dxa"/>
            <w:vMerge w:val="restart"/>
            <w:tcBorders>
              <w:top w:val="single" w:sz="12" w:space="0" w:color="008000"/>
            </w:tcBorders>
            <w:shd w:val="clear" w:color="auto" w:fill="FFFFFF"/>
            <w:vAlign w:val="center"/>
          </w:tcPr>
          <w:p w:rsidR="00EA4CEA" w:rsidRPr="000541B8" w:rsidRDefault="00EA4CEA" w:rsidP="00EA4CEA">
            <w:pPr>
              <w:pStyle w:val="CETBodytext"/>
              <w:ind w:right="-1"/>
              <w:jc w:val="center"/>
              <w:rPr>
                <w:rFonts w:cs="Arial"/>
                <w:szCs w:val="18"/>
                <w:lang w:val="en-GB"/>
              </w:rPr>
            </w:pPr>
            <w:r w:rsidRPr="000541B8">
              <w:rPr>
                <w:lang w:val="en-GB"/>
              </w:rPr>
              <w:t>Cat</w:t>
            </w:r>
          </w:p>
        </w:tc>
        <w:tc>
          <w:tcPr>
            <w:tcW w:w="846" w:type="dxa"/>
            <w:vMerge w:val="restart"/>
            <w:tcBorders>
              <w:top w:val="single" w:sz="12" w:space="0" w:color="008000"/>
            </w:tcBorders>
            <w:shd w:val="clear" w:color="auto" w:fill="FFFFFF"/>
            <w:vAlign w:val="center"/>
          </w:tcPr>
          <w:p w:rsidR="00EA4CEA" w:rsidRPr="000541B8" w:rsidRDefault="00961F49" w:rsidP="00EA4CEA">
            <w:pPr>
              <w:pStyle w:val="CETBodytext"/>
              <w:ind w:right="-1"/>
              <w:jc w:val="center"/>
              <w:rPr>
                <w:rFonts w:cs="Arial"/>
                <w:szCs w:val="18"/>
                <w:lang w:val="en-GB"/>
              </w:rPr>
            </w:pPr>
            <w:r w:rsidRPr="000541B8">
              <w:rPr>
                <w:lang w:val="en-GB"/>
              </w:rPr>
              <w:t>RM</w:t>
            </w:r>
            <w:r w:rsidR="00EA4CEA" w:rsidRPr="000541B8">
              <w:rPr>
                <w:lang w:val="en-GB"/>
              </w:rPr>
              <w:t>/Cat</w:t>
            </w:r>
          </w:p>
        </w:tc>
        <w:tc>
          <w:tcPr>
            <w:tcW w:w="1814" w:type="dxa"/>
            <w:gridSpan w:val="2"/>
            <w:tcBorders>
              <w:top w:val="single" w:sz="12" w:space="0" w:color="008000"/>
              <w:bottom w:val="single" w:sz="6" w:space="0" w:color="008000"/>
            </w:tcBorders>
            <w:shd w:val="clear" w:color="auto" w:fill="FFFFFF"/>
            <w:vAlign w:val="center"/>
          </w:tcPr>
          <w:p w:rsidR="00EA4CEA" w:rsidRPr="000541B8" w:rsidRDefault="00EA4CEA" w:rsidP="00EA4CEA">
            <w:pPr>
              <w:pStyle w:val="CETBodytext"/>
              <w:ind w:right="-1"/>
              <w:jc w:val="center"/>
              <w:rPr>
                <w:rFonts w:cs="Arial"/>
                <w:szCs w:val="18"/>
                <w:lang w:val="en-GB"/>
              </w:rPr>
            </w:pPr>
            <w:r w:rsidRPr="000541B8">
              <w:rPr>
                <w:lang w:val="en-GB"/>
              </w:rPr>
              <w:t>Theoretical yield</w:t>
            </w:r>
          </w:p>
        </w:tc>
        <w:tc>
          <w:tcPr>
            <w:tcW w:w="1843" w:type="dxa"/>
            <w:vMerge w:val="restart"/>
            <w:tcBorders>
              <w:top w:val="single" w:sz="12" w:space="0" w:color="008000"/>
            </w:tcBorders>
            <w:shd w:val="clear" w:color="auto" w:fill="FFFFFF"/>
            <w:vAlign w:val="center"/>
          </w:tcPr>
          <w:p w:rsidR="00EA4CEA" w:rsidRPr="000541B8" w:rsidRDefault="00EA4CEA" w:rsidP="00EA4CEA">
            <w:pPr>
              <w:pStyle w:val="CETBodytext"/>
              <w:ind w:right="-1"/>
              <w:jc w:val="center"/>
              <w:rPr>
                <w:rFonts w:cs="Arial"/>
                <w:szCs w:val="18"/>
                <w:lang w:val="en-GB"/>
              </w:rPr>
            </w:pPr>
            <w:r w:rsidRPr="000541B8">
              <w:rPr>
                <w:lang w:val="en-GB"/>
              </w:rPr>
              <w:t>References</w:t>
            </w:r>
          </w:p>
        </w:tc>
      </w:tr>
      <w:tr w:rsidR="00961F49" w:rsidRPr="000541B8" w:rsidTr="00982C99">
        <w:trPr>
          <w:trHeight w:val="112"/>
        </w:trPr>
        <w:tc>
          <w:tcPr>
            <w:tcW w:w="1032" w:type="dxa"/>
            <w:vMerge/>
            <w:tcBorders>
              <w:bottom w:val="single" w:sz="6" w:space="0" w:color="008000"/>
            </w:tcBorders>
            <w:shd w:val="clear" w:color="auto" w:fill="FFFFFF"/>
            <w:vAlign w:val="center"/>
          </w:tcPr>
          <w:p w:rsidR="00EA4CEA" w:rsidRPr="000541B8" w:rsidRDefault="00EA4CEA" w:rsidP="00EA4CEA">
            <w:pPr>
              <w:pStyle w:val="CETBodytext"/>
              <w:jc w:val="center"/>
              <w:rPr>
                <w:lang w:val="en-GB"/>
              </w:rPr>
            </w:pPr>
          </w:p>
        </w:tc>
        <w:tc>
          <w:tcPr>
            <w:tcW w:w="1367" w:type="dxa"/>
            <w:vMerge/>
            <w:tcBorders>
              <w:bottom w:val="single" w:sz="6" w:space="0" w:color="008000"/>
            </w:tcBorders>
            <w:shd w:val="clear" w:color="auto" w:fill="FFFFFF"/>
            <w:vAlign w:val="center"/>
          </w:tcPr>
          <w:p w:rsidR="00EA4CEA" w:rsidRPr="000541B8" w:rsidRDefault="00EA4CEA" w:rsidP="00EA4CEA">
            <w:pPr>
              <w:pStyle w:val="CETBodytext"/>
              <w:jc w:val="center"/>
              <w:rPr>
                <w:lang w:val="en-GB"/>
              </w:rPr>
            </w:pPr>
          </w:p>
        </w:tc>
        <w:tc>
          <w:tcPr>
            <w:tcW w:w="1407" w:type="dxa"/>
            <w:vMerge/>
            <w:tcBorders>
              <w:bottom w:val="single" w:sz="6" w:space="0" w:color="008000"/>
            </w:tcBorders>
            <w:shd w:val="clear" w:color="auto" w:fill="FFFFFF"/>
            <w:vAlign w:val="center"/>
          </w:tcPr>
          <w:p w:rsidR="00EA4CEA" w:rsidRPr="000541B8" w:rsidRDefault="00EA4CEA" w:rsidP="00EA4CEA">
            <w:pPr>
              <w:pStyle w:val="CETBodytext"/>
              <w:jc w:val="center"/>
              <w:rPr>
                <w:lang w:val="en-GB"/>
              </w:rPr>
            </w:pPr>
          </w:p>
        </w:tc>
        <w:tc>
          <w:tcPr>
            <w:tcW w:w="480" w:type="dxa"/>
            <w:vMerge/>
            <w:tcBorders>
              <w:bottom w:val="single" w:sz="6" w:space="0" w:color="008000"/>
            </w:tcBorders>
            <w:shd w:val="clear" w:color="auto" w:fill="FFFFFF"/>
            <w:vAlign w:val="center"/>
          </w:tcPr>
          <w:p w:rsidR="00EA4CEA" w:rsidRPr="000541B8" w:rsidRDefault="00EA4CEA" w:rsidP="00EA4CEA">
            <w:pPr>
              <w:pStyle w:val="CETBodytext"/>
              <w:ind w:right="-1"/>
              <w:jc w:val="center"/>
              <w:rPr>
                <w:rFonts w:cs="Arial"/>
                <w:szCs w:val="18"/>
                <w:lang w:val="en-GB"/>
              </w:rPr>
            </w:pPr>
          </w:p>
        </w:tc>
        <w:tc>
          <w:tcPr>
            <w:tcW w:w="846" w:type="dxa"/>
            <w:vMerge/>
            <w:tcBorders>
              <w:bottom w:val="single" w:sz="6" w:space="0" w:color="008000"/>
            </w:tcBorders>
            <w:shd w:val="clear" w:color="auto" w:fill="FFFFFF"/>
            <w:vAlign w:val="center"/>
          </w:tcPr>
          <w:p w:rsidR="00EA4CEA" w:rsidRPr="000541B8" w:rsidRDefault="00EA4CEA" w:rsidP="00EA4CEA">
            <w:pPr>
              <w:pStyle w:val="CETBodytext"/>
              <w:ind w:right="-1"/>
              <w:jc w:val="center"/>
              <w:rPr>
                <w:rFonts w:cs="Arial"/>
                <w:szCs w:val="18"/>
                <w:lang w:val="en-GB"/>
              </w:rPr>
            </w:pPr>
          </w:p>
        </w:tc>
        <w:tc>
          <w:tcPr>
            <w:tcW w:w="1124" w:type="dxa"/>
            <w:tcBorders>
              <w:top w:val="single" w:sz="12" w:space="0" w:color="008000"/>
              <w:bottom w:val="single" w:sz="6" w:space="0" w:color="008000"/>
            </w:tcBorders>
            <w:shd w:val="clear" w:color="auto" w:fill="FFFFFF"/>
            <w:vAlign w:val="center"/>
          </w:tcPr>
          <w:p w:rsidR="00EA4CEA" w:rsidRPr="000541B8" w:rsidRDefault="00EA4CEA" w:rsidP="00EA4CEA">
            <w:pPr>
              <w:pStyle w:val="CETBodytext"/>
              <w:ind w:right="-1"/>
              <w:jc w:val="center"/>
              <w:rPr>
                <w:rFonts w:cs="Arial"/>
                <w:szCs w:val="18"/>
                <w:lang w:val="en-GB"/>
              </w:rPr>
            </w:pPr>
            <w:r w:rsidRPr="000541B8">
              <w:rPr>
                <w:lang w:val="en-GB"/>
              </w:rPr>
              <w:t>HMF (%)</w:t>
            </w:r>
          </w:p>
        </w:tc>
        <w:tc>
          <w:tcPr>
            <w:tcW w:w="690" w:type="dxa"/>
            <w:tcBorders>
              <w:top w:val="single" w:sz="12" w:space="0" w:color="008000"/>
              <w:bottom w:val="single" w:sz="6" w:space="0" w:color="008000"/>
            </w:tcBorders>
            <w:shd w:val="clear" w:color="auto" w:fill="FFFFFF"/>
            <w:vAlign w:val="center"/>
          </w:tcPr>
          <w:p w:rsidR="00EA4CEA" w:rsidRPr="000541B8" w:rsidRDefault="00EA4CEA" w:rsidP="00EA4CEA">
            <w:pPr>
              <w:pStyle w:val="CETBodytext"/>
              <w:ind w:right="-1"/>
              <w:jc w:val="center"/>
              <w:rPr>
                <w:rFonts w:cs="Arial"/>
                <w:szCs w:val="18"/>
                <w:lang w:val="en-GB"/>
              </w:rPr>
            </w:pPr>
            <w:r w:rsidRPr="000541B8">
              <w:rPr>
                <w:lang w:val="en-GB"/>
              </w:rPr>
              <w:t>FF (%)</w:t>
            </w:r>
          </w:p>
        </w:tc>
        <w:tc>
          <w:tcPr>
            <w:tcW w:w="1843" w:type="dxa"/>
            <w:vMerge/>
            <w:tcBorders>
              <w:bottom w:val="single" w:sz="6" w:space="0" w:color="008000"/>
            </w:tcBorders>
            <w:shd w:val="clear" w:color="auto" w:fill="FFFFFF"/>
            <w:vAlign w:val="center"/>
          </w:tcPr>
          <w:p w:rsidR="00EA4CEA" w:rsidRPr="000541B8" w:rsidRDefault="00EA4CEA" w:rsidP="00EA4CEA">
            <w:pPr>
              <w:pStyle w:val="CETBodytext"/>
              <w:ind w:right="-1"/>
              <w:jc w:val="center"/>
              <w:rPr>
                <w:rFonts w:cs="Arial"/>
                <w:szCs w:val="18"/>
                <w:lang w:val="en-GB"/>
              </w:rPr>
            </w:pPr>
          </w:p>
        </w:tc>
      </w:tr>
      <w:tr w:rsidR="00E51AAC" w:rsidRPr="000541B8" w:rsidTr="00982C99">
        <w:trPr>
          <w:trHeight w:val="112"/>
        </w:trPr>
        <w:tc>
          <w:tcPr>
            <w:tcW w:w="1032" w:type="dxa"/>
            <w:vMerge w:val="restart"/>
            <w:tcBorders>
              <w:top w:val="single" w:sz="6" w:space="0" w:color="008000"/>
            </w:tcBorders>
            <w:shd w:val="clear" w:color="auto" w:fill="FFFFFF"/>
            <w:vAlign w:val="center"/>
          </w:tcPr>
          <w:p w:rsidR="00E51AAC" w:rsidRPr="000541B8" w:rsidRDefault="00E51AAC" w:rsidP="00EA4CEA">
            <w:pPr>
              <w:pStyle w:val="CETBodytext"/>
              <w:jc w:val="center"/>
              <w:rPr>
                <w:lang w:val="en-GB"/>
              </w:rPr>
            </w:pPr>
            <w:r w:rsidRPr="000541B8">
              <w:rPr>
                <w:lang w:val="en-GB"/>
              </w:rPr>
              <w:t>SCB</w:t>
            </w:r>
          </w:p>
        </w:tc>
        <w:tc>
          <w:tcPr>
            <w:tcW w:w="1367" w:type="dxa"/>
            <w:vMerge w:val="restart"/>
            <w:tcBorders>
              <w:top w:val="single" w:sz="6" w:space="0" w:color="008000"/>
            </w:tcBorders>
            <w:shd w:val="clear" w:color="auto" w:fill="FFFFFF"/>
            <w:vAlign w:val="center"/>
          </w:tcPr>
          <w:p w:rsidR="00E51AAC" w:rsidRPr="000541B8" w:rsidRDefault="00E51AAC" w:rsidP="00EA4CEA">
            <w:pPr>
              <w:pStyle w:val="CETBodytext"/>
              <w:jc w:val="center"/>
              <w:rPr>
                <w:lang w:val="en-GB"/>
              </w:rPr>
            </w:pPr>
            <w:r w:rsidRPr="000541B8">
              <w:rPr>
                <w:lang w:val="en-GB"/>
              </w:rPr>
              <w:t>2</w:t>
            </w:r>
          </w:p>
        </w:tc>
        <w:tc>
          <w:tcPr>
            <w:tcW w:w="1407" w:type="dxa"/>
            <w:tcBorders>
              <w:top w:val="single" w:sz="6" w:space="0" w:color="008000"/>
            </w:tcBorders>
            <w:shd w:val="clear" w:color="auto" w:fill="FFFFFF"/>
            <w:vAlign w:val="center"/>
          </w:tcPr>
          <w:p w:rsidR="00E51AAC" w:rsidRPr="000541B8" w:rsidRDefault="00DC2768" w:rsidP="00EA4CEA">
            <w:pPr>
              <w:pStyle w:val="CETBodytext"/>
              <w:jc w:val="center"/>
              <w:rPr>
                <w:lang w:val="en-GB"/>
              </w:rPr>
            </w:pPr>
            <w:r w:rsidRPr="000541B8">
              <w:rPr>
                <w:lang w:val="en-GB"/>
              </w:rPr>
              <w:t>300</w:t>
            </w:r>
            <w:r w:rsidR="00E51AAC" w:rsidRPr="000541B8">
              <w:rPr>
                <w:lang w:val="en-GB"/>
              </w:rPr>
              <w:t xml:space="preserve"> min</w:t>
            </w:r>
          </w:p>
          <w:p w:rsidR="00E51AAC" w:rsidRPr="000541B8" w:rsidRDefault="00E51AAC" w:rsidP="00EA4CEA">
            <w:pPr>
              <w:pStyle w:val="CETBodytext"/>
              <w:jc w:val="center"/>
              <w:rPr>
                <w:lang w:val="en-GB"/>
              </w:rPr>
            </w:pPr>
            <w:r w:rsidRPr="000541B8">
              <w:rPr>
                <w:lang w:val="en-GB"/>
              </w:rPr>
              <w:t>150°C</w:t>
            </w:r>
          </w:p>
        </w:tc>
        <w:tc>
          <w:tcPr>
            <w:tcW w:w="480" w:type="dxa"/>
            <w:tcBorders>
              <w:top w:val="single" w:sz="6" w:space="0" w:color="008000"/>
            </w:tcBorders>
            <w:shd w:val="clear" w:color="auto" w:fill="FFFFFF"/>
            <w:vAlign w:val="center"/>
          </w:tcPr>
          <w:p w:rsidR="00E51AAC" w:rsidRPr="000541B8" w:rsidRDefault="00E51AAC" w:rsidP="00EA4CEA">
            <w:pPr>
              <w:pStyle w:val="CETBodytext"/>
              <w:ind w:right="-1"/>
              <w:jc w:val="center"/>
              <w:rPr>
                <w:rFonts w:cs="Arial"/>
                <w:szCs w:val="18"/>
                <w:lang w:val="en-GB"/>
              </w:rPr>
            </w:pPr>
            <w:proofErr w:type="spellStart"/>
            <w:r w:rsidRPr="000541B8">
              <w:rPr>
                <w:lang w:val="en-GB"/>
              </w:rPr>
              <w:t>HNb</w:t>
            </w:r>
            <w:proofErr w:type="spellEnd"/>
          </w:p>
        </w:tc>
        <w:tc>
          <w:tcPr>
            <w:tcW w:w="846" w:type="dxa"/>
            <w:tcBorders>
              <w:top w:val="single" w:sz="6" w:space="0" w:color="008000"/>
            </w:tcBorders>
            <w:shd w:val="clear" w:color="auto" w:fill="FFFFFF"/>
            <w:vAlign w:val="center"/>
          </w:tcPr>
          <w:p w:rsidR="00E51AAC" w:rsidRPr="000541B8" w:rsidRDefault="00E51AAC" w:rsidP="00EA4CEA">
            <w:pPr>
              <w:pStyle w:val="CETBodytext"/>
              <w:ind w:right="-1"/>
              <w:jc w:val="center"/>
              <w:rPr>
                <w:rFonts w:cs="Arial"/>
                <w:szCs w:val="18"/>
                <w:lang w:val="en-GB"/>
              </w:rPr>
            </w:pPr>
            <w:r w:rsidRPr="000541B8">
              <w:rPr>
                <w:lang w:val="en-GB"/>
              </w:rPr>
              <w:t>1:1</w:t>
            </w:r>
          </w:p>
        </w:tc>
        <w:tc>
          <w:tcPr>
            <w:tcW w:w="1124" w:type="dxa"/>
            <w:tcBorders>
              <w:top w:val="single" w:sz="6" w:space="0" w:color="008000"/>
              <w:bottom w:val="nil"/>
            </w:tcBorders>
            <w:shd w:val="clear" w:color="auto" w:fill="FFFFFF"/>
            <w:vAlign w:val="center"/>
          </w:tcPr>
          <w:p w:rsidR="00E51AAC" w:rsidRPr="000541B8" w:rsidRDefault="00DC2768" w:rsidP="00EA4CEA">
            <w:pPr>
              <w:pStyle w:val="CETBodytext"/>
              <w:ind w:right="-1"/>
              <w:jc w:val="center"/>
              <w:rPr>
                <w:rFonts w:cs="Arial"/>
                <w:szCs w:val="18"/>
                <w:lang w:val="en-GB"/>
              </w:rPr>
            </w:pPr>
            <w:r w:rsidRPr="000541B8">
              <w:rPr>
                <w:lang w:val="en-GB"/>
              </w:rPr>
              <w:t>1</w:t>
            </w:r>
            <w:r w:rsidR="00724764">
              <w:rPr>
                <w:lang w:val="en-GB"/>
              </w:rPr>
              <w:t>.0</w:t>
            </w:r>
          </w:p>
        </w:tc>
        <w:tc>
          <w:tcPr>
            <w:tcW w:w="690" w:type="dxa"/>
            <w:tcBorders>
              <w:top w:val="single" w:sz="6" w:space="0" w:color="008000"/>
              <w:bottom w:val="nil"/>
            </w:tcBorders>
            <w:shd w:val="clear" w:color="auto" w:fill="FFFFFF"/>
            <w:vAlign w:val="center"/>
          </w:tcPr>
          <w:p w:rsidR="00E51AAC" w:rsidRPr="000541B8" w:rsidRDefault="00DC2768" w:rsidP="00EA4CEA">
            <w:pPr>
              <w:pStyle w:val="CETBodytext"/>
              <w:ind w:right="-1"/>
              <w:jc w:val="center"/>
              <w:rPr>
                <w:rFonts w:cs="Arial"/>
                <w:szCs w:val="18"/>
                <w:lang w:val="en-GB"/>
              </w:rPr>
            </w:pPr>
            <w:r w:rsidRPr="000541B8">
              <w:rPr>
                <w:lang w:val="en-GB"/>
              </w:rPr>
              <w:t>19.1</w:t>
            </w:r>
          </w:p>
        </w:tc>
        <w:tc>
          <w:tcPr>
            <w:tcW w:w="1843" w:type="dxa"/>
            <w:vMerge w:val="restart"/>
            <w:tcBorders>
              <w:top w:val="single" w:sz="6" w:space="0" w:color="008000"/>
            </w:tcBorders>
            <w:shd w:val="clear" w:color="auto" w:fill="FFFFFF"/>
            <w:vAlign w:val="center"/>
          </w:tcPr>
          <w:p w:rsidR="00E51AAC" w:rsidRPr="000541B8" w:rsidRDefault="00E51AAC" w:rsidP="00EA4CEA">
            <w:pPr>
              <w:pStyle w:val="CETBodytext"/>
              <w:ind w:right="-1"/>
              <w:jc w:val="center"/>
              <w:rPr>
                <w:rFonts w:cs="Arial"/>
                <w:szCs w:val="18"/>
                <w:lang w:val="en-GB"/>
              </w:rPr>
            </w:pPr>
            <w:r w:rsidRPr="000541B8">
              <w:rPr>
                <w:lang w:val="en-GB"/>
              </w:rPr>
              <w:t>(</w:t>
            </w:r>
            <w:proofErr w:type="spellStart"/>
            <w:r w:rsidRPr="000541B8">
              <w:rPr>
                <w:lang w:val="en-GB"/>
              </w:rPr>
              <w:t>Catrin</w:t>
            </w:r>
            <w:r w:rsidR="00982C99">
              <w:rPr>
                <w:lang w:val="en-GB"/>
              </w:rPr>
              <w:t>c</w:t>
            </w:r>
            <w:r w:rsidRPr="000541B8">
              <w:rPr>
                <w:lang w:val="en-GB"/>
              </w:rPr>
              <w:t>k</w:t>
            </w:r>
            <w:proofErr w:type="spellEnd"/>
            <w:r w:rsidRPr="000541B8">
              <w:rPr>
                <w:lang w:val="en-GB"/>
              </w:rPr>
              <w:t xml:space="preserve"> et al., 2020)</w:t>
            </w:r>
          </w:p>
        </w:tc>
      </w:tr>
      <w:tr w:rsidR="00E51AAC" w:rsidRPr="000541B8" w:rsidTr="00982C99">
        <w:trPr>
          <w:trHeight w:val="112"/>
        </w:trPr>
        <w:tc>
          <w:tcPr>
            <w:tcW w:w="1032" w:type="dxa"/>
            <w:vMerge/>
            <w:tcBorders>
              <w:bottom w:val="single" w:sz="6" w:space="0" w:color="008000"/>
            </w:tcBorders>
            <w:shd w:val="clear" w:color="auto" w:fill="FFFFFF"/>
            <w:vAlign w:val="center"/>
          </w:tcPr>
          <w:p w:rsidR="00E51AAC" w:rsidRPr="000541B8" w:rsidRDefault="00E51AAC" w:rsidP="00EA4CEA">
            <w:pPr>
              <w:pStyle w:val="CETBodytext"/>
              <w:jc w:val="center"/>
              <w:rPr>
                <w:lang w:val="en-GB"/>
              </w:rPr>
            </w:pPr>
          </w:p>
        </w:tc>
        <w:tc>
          <w:tcPr>
            <w:tcW w:w="1367" w:type="dxa"/>
            <w:vMerge/>
            <w:tcBorders>
              <w:bottom w:val="single" w:sz="6" w:space="0" w:color="008000"/>
            </w:tcBorders>
            <w:shd w:val="clear" w:color="auto" w:fill="FFFFFF"/>
            <w:vAlign w:val="center"/>
          </w:tcPr>
          <w:p w:rsidR="00E51AAC" w:rsidRPr="000541B8" w:rsidRDefault="00E51AAC" w:rsidP="00EA4CEA">
            <w:pPr>
              <w:pStyle w:val="CETBodytext"/>
              <w:jc w:val="center"/>
              <w:rPr>
                <w:lang w:val="en-GB"/>
              </w:rPr>
            </w:pPr>
          </w:p>
        </w:tc>
        <w:tc>
          <w:tcPr>
            <w:tcW w:w="1407" w:type="dxa"/>
            <w:tcBorders>
              <w:bottom w:val="single" w:sz="6" w:space="0" w:color="008000"/>
            </w:tcBorders>
            <w:shd w:val="clear" w:color="auto" w:fill="FFFFFF"/>
            <w:vAlign w:val="center"/>
          </w:tcPr>
          <w:p w:rsidR="00E51AAC" w:rsidRPr="000541B8" w:rsidRDefault="00E51AAC" w:rsidP="00EA4CEA">
            <w:pPr>
              <w:pStyle w:val="CETBodytext"/>
              <w:jc w:val="center"/>
              <w:rPr>
                <w:lang w:val="en-GB"/>
              </w:rPr>
            </w:pPr>
            <w:r w:rsidRPr="000541B8">
              <w:rPr>
                <w:lang w:val="en-GB"/>
              </w:rPr>
              <w:t>300 min</w:t>
            </w:r>
          </w:p>
          <w:p w:rsidR="00E51AAC" w:rsidRPr="000541B8" w:rsidRDefault="00E51AAC" w:rsidP="00EA4CEA">
            <w:pPr>
              <w:pStyle w:val="CETBodytext"/>
              <w:jc w:val="center"/>
              <w:rPr>
                <w:lang w:val="en-GB"/>
              </w:rPr>
            </w:pPr>
            <w:r w:rsidRPr="000541B8">
              <w:rPr>
                <w:lang w:val="en-GB"/>
              </w:rPr>
              <w:t>150 °C</w:t>
            </w:r>
          </w:p>
        </w:tc>
        <w:tc>
          <w:tcPr>
            <w:tcW w:w="480" w:type="dxa"/>
            <w:tcBorders>
              <w:bottom w:val="single" w:sz="6" w:space="0" w:color="008000"/>
            </w:tcBorders>
            <w:shd w:val="clear" w:color="auto" w:fill="FFFFFF"/>
            <w:vAlign w:val="center"/>
          </w:tcPr>
          <w:p w:rsidR="00E51AAC" w:rsidRPr="000541B8" w:rsidRDefault="00E51AAC" w:rsidP="00EA4CEA">
            <w:pPr>
              <w:pStyle w:val="CETBodytext"/>
              <w:ind w:right="-1"/>
              <w:jc w:val="center"/>
              <w:rPr>
                <w:rFonts w:cs="Arial"/>
                <w:szCs w:val="18"/>
                <w:lang w:val="en-GB"/>
              </w:rPr>
            </w:pPr>
            <w:proofErr w:type="spellStart"/>
            <w:r w:rsidRPr="000541B8">
              <w:rPr>
                <w:lang w:val="en-GB"/>
              </w:rPr>
              <w:t>Pnb</w:t>
            </w:r>
            <w:proofErr w:type="spellEnd"/>
          </w:p>
        </w:tc>
        <w:tc>
          <w:tcPr>
            <w:tcW w:w="846" w:type="dxa"/>
            <w:tcBorders>
              <w:bottom w:val="single" w:sz="6" w:space="0" w:color="008000"/>
            </w:tcBorders>
            <w:shd w:val="clear" w:color="auto" w:fill="FFFFFF"/>
            <w:vAlign w:val="center"/>
          </w:tcPr>
          <w:p w:rsidR="00E51AAC" w:rsidRPr="000541B8" w:rsidRDefault="00E51AAC" w:rsidP="00EA4CEA">
            <w:pPr>
              <w:pStyle w:val="CETBodytext"/>
              <w:ind w:right="-1"/>
              <w:jc w:val="center"/>
              <w:rPr>
                <w:rFonts w:cs="Arial"/>
                <w:szCs w:val="18"/>
                <w:lang w:val="en-GB"/>
              </w:rPr>
            </w:pPr>
            <w:r w:rsidRPr="000541B8">
              <w:rPr>
                <w:lang w:val="en-GB"/>
              </w:rPr>
              <w:t>1:1</w:t>
            </w:r>
          </w:p>
        </w:tc>
        <w:tc>
          <w:tcPr>
            <w:tcW w:w="1124" w:type="dxa"/>
            <w:tcBorders>
              <w:top w:val="nil"/>
              <w:bottom w:val="single" w:sz="6" w:space="0" w:color="008000"/>
            </w:tcBorders>
            <w:shd w:val="clear" w:color="auto" w:fill="FFFFFF"/>
            <w:vAlign w:val="center"/>
          </w:tcPr>
          <w:p w:rsidR="00E51AAC" w:rsidRPr="000541B8" w:rsidRDefault="00DC2768" w:rsidP="00EA4CEA">
            <w:pPr>
              <w:pStyle w:val="CETBodytext"/>
              <w:ind w:right="-1"/>
              <w:jc w:val="center"/>
              <w:rPr>
                <w:rFonts w:cs="Arial"/>
                <w:szCs w:val="18"/>
                <w:lang w:val="en-GB"/>
              </w:rPr>
            </w:pPr>
            <w:r w:rsidRPr="000541B8">
              <w:rPr>
                <w:lang w:val="en-GB"/>
              </w:rPr>
              <w:t>1.3</w:t>
            </w:r>
          </w:p>
        </w:tc>
        <w:tc>
          <w:tcPr>
            <w:tcW w:w="690" w:type="dxa"/>
            <w:tcBorders>
              <w:top w:val="nil"/>
              <w:bottom w:val="single" w:sz="6" w:space="0" w:color="008000"/>
            </w:tcBorders>
            <w:shd w:val="clear" w:color="auto" w:fill="FFFFFF"/>
            <w:vAlign w:val="center"/>
          </w:tcPr>
          <w:p w:rsidR="00E51AAC" w:rsidRPr="000541B8" w:rsidRDefault="00DC2768" w:rsidP="00EA4CEA">
            <w:pPr>
              <w:pStyle w:val="CETBodytext"/>
              <w:ind w:right="-1"/>
              <w:jc w:val="center"/>
              <w:rPr>
                <w:rFonts w:cs="Arial"/>
                <w:szCs w:val="18"/>
                <w:lang w:val="en-GB"/>
              </w:rPr>
            </w:pPr>
            <w:r w:rsidRPr="000541B8">
              <w:rPr>
                <w:lang w:val="en-GB"/>
              </w:rPr>
              <w:t>26.2</w:t>
            </w:r>
          </w:p>
        </w:tc>
        <w:tc>
          <w:tcPr>
            <w:tcW w:w="1843" w:type="dxa"/>
            <w:vMerge/>
            <w:tcBorders>
              <w:bottom w:val="single" w:sz="6" w:space="0" w:color="008000"/>
            </w:tcBorders>
            <w:shd w:val="clear" w:color="auto" w:fill="FFFFFF"/>
            <w:vAlign w:val="center"/>
          </w:tcPr>
          <w:p w:rsidR="00E51AAC" w:rsidRPr="000541B8" w:rsidRDefault="00E51AAC" w:rsidP="00EA4CEA">
            <w:pPr>
              <w:pStyle w:val="CETBodytext"/>
              <w:ind w:right="-1"/>
              <w:jc w:val="center"/>
              <w:rPr>
                <w:rFonts w:cs="Arial"/>
                <w:szCs w:val="18"/>
                <w:lang w:val="en-GB"/>
              </w:rPr>
            </w:pPr>
          </w:p>
        </w:tc>
      </w:tr>
      <w:tr w:rsidR="00DC2768" w:rsidRPr="000541B8" w:rsidTr="00982C99">
        <w:trPr>
          <w:trHeight w:val="112"/>
        </w:trPr>
        <w:tc>
          <w:tcPr>
            <w:tcW w:w="1032" w:type="dxa"/>
            <w:vMerge w:val="restart"/>
            <w:tcBorders>
              <w:top w:val="single" w:sz="6" w:space="0" w:color="008000"/>
              <w:bottom w:val="single" w:sz="6" w:space="0" w:color="008000"/>
            </w:tcBorders>
            <w:shd w:val="clear" w:color="auto" w:fill="FFFFFF"/>
            <w:vAlign w:val="center"/>
          </w:tcPr>
          <w:p w:rsidR="00DC2768" w:rsidRPr="000541B8" w:rsidRDefault="00DC2768" w:rsidP="00DC2768">
            <w:pPr>
              <w:pStyle w:val="CETBodytext"/>
              <w:jc w:val="center"/>
              <w:rPr>
                <w:lang w:val="en-GB"/>
              </w:rPr>
            </w:pPr>
            <w:proofErr w:type="spellStart"/>
            <w:r w:rsidRPr="000541B8">
              <w:rPr>
                <w:lang w:val="en-GB"/>
              </w:rPr>
              <w:t>Holocelulose</w:t>
            </w:r>
            <w:proofErr w:type="spellEnd"/>
          </w:p>
        </w:tc>
        <w:tc>
          <w:tcPr>
            <w:tcW w:w="1367" w:type="dxa"/>
            <w:vMerge w:val="restart"/>
            <w:tcBorders>
              <w:top w:val="single" w:sz="6" w:space="0" w:color="008000"/>
              <w:bottom w:val="single" w:sz="6" w:space="0" w:color="008000"/>
            </w:tcBorders>
            <w:shd w:val="clear" w:color="auto" w:fill="FFFFFF"/>
            <w:vAlign w:val="center"/>
          </w:tcPr>
          <w:p w:rsidR="00DC2768" w:rsidRPr="000541B8" w:rsidRDefault="00DC2768" w:rsidP="00DC2768">
            <w:pPr>
              <w:pStyle w:val="CETBodytext"/>
              <w:jc w:val="center"/>
              <w:rPr>
                <w:lang w:val="en-GB"/>
              </w:rPr>
            </w:pPr>
            <w:r w:rsidRPr="000541B8">
              <w:rPr>
                <w:lang w:val="en-GB"/>
              </w:rPr>
              <w:t>6</w:t>
            </w:r>
          </w:p>
        </w:tc>
        <w:tc>
          <w:tcPr>
            <w:tcW w:w="1407" w:type="dxa"/>
            <w:tcBorders>
              <w:top w:val="single" w:sz="6" w:space="0" w:color="008000"/>
              <w:bottom w:val="nil"/>
            </w:tcBorders>
            <w:shd w:val="clear" w:color="auto" w:fill="FFFFFF"/>
            <w:vAlign w:val="center"/>
          </w:tcPr>
          <w:p w:rsidR="00DC2768" w:rsidRPr="000541B8" w:rsidRDefault="00DC2768" w:rsidP="00DC2768">
            <w:pPr>
              <w:pStyle w:val="CETBodytext"/>
              <w:jc w:val="center"/>
              <w:rPr>
                <w:lang w:val="en-GB"/>
              </w:rPr>
            </w:pPr>
            <w:r w:rsidRPr="000541B8">
              <w:rPr>
                <w:lang w:val="en-GB"/>
              </w:rPr>
              <w:t>360/45 min</w:t>
            </w:r>
          </w:p>
          <w:p w:rsidR="00DC2768" w:rsidRPr="000541B8" w:rsidRDefault="00DC2768" w:rsidP="00DC2768">
            <w:pPr>
              <w:pStyle w:val="CETBodytext"/>
              <w:jc w:val="center"/>
              <w:rPr>
                <w:lang w:val="en-GB"/>
              </w:rPr>
            </w:pPr>
            <w:r w:rsidRPr="000541B8">
              <w:rPr>
                <w:lang w:val="en-GB"/>
              </w:rPr>
              <w:t>200 °C</w:t>
            </w:r>
          </w:p>
        </w:tc>
        <w:tc>
          <w:tcPr>
            <w:tcW w:w="480" w:type="dxa"/>
            <w:tcBorders>
              <w:top w:val="single" w:sz="6" w:space="0" w:color="008000"/>
              <w:bottom w:val="nil"/>
            </w:tcBorders>
            <w:shd w:val="clear" w:color="auto" w:fill="FFFFFF"/>
            <w:vAlign w:val="center"/>
          </w:tcPr>
          <w:p w:rsidR="00DC2768" w:rsidRPr="000541B8" w:rsidRDefault="00DC2768" w:rsidP="00DC2768">
            <w:pPr>
              <w:pStyle w:val="CETBodytext"/>
              <w:ind w:right="-1"/>
              <w:jc w:val="center"/>
              <w:rPr>
                <w:rFonts w:cs="Arial"/>
                <w:szCs w:val="18"/>
                <w:lang w:val="en-GB"/>
              </w:rPr>
            </w:pPr>
            <w:proofErr w:type="spellStart"/>
            <w:r w:rsidRPr="000541B8">
              <w:rPr>
                <w:lang w:val="en-GB"/>
              </w:rPr>
              <w:t>HNb</w:t>
            </w:r>
            <w:proofErr w:type="spellEnd"/>
          </w:p>
        </w:tc>
        <w:tc>
          <w:tcPr>
            <w:tcW w:w="846" w:type="dxa"/>
            <w:tcBorders>
              <w:top w:val="single" w:sz="6" w:space="0" w:color="008000"/>
              <w:bottom w:val="nil"/>
            </w:tcBorders>
            <w:shd w:val="clear" w:color="auto" w:fill="FFFFFF"/>
            <w:vAlign w:val="center"/>
          </w:tcPr>
          <w:p w:rsidR="00DC2768" w:rsidRPr="000541B8" w:rsidRDefault="00DC2768" w:rsidP="00DC2768">
            <w:pPr>
              <w:pStyle w:val="CETBodytext"/>
              <w:ind w:right="-1"/>
              <w:jc w:val="center"/>
              <w:rPr>
                <w:rFonts w:cs="Arial"/>
                <w:szCs w:val="18"/>
                <w:lang w:val="en-GB"/>
              </w:rPr>
            </w:pPr>
            <w:r w:rsidRPr="000541B8">
              <w:rPr>
                <w:lang w:val="en-GB"/>
              </w:rPr>
              <w:t>3:1</w:t>
            </w:r>
          </w:p>
        </w:tc>
        <w:tc>
          <w:tcPr>
            <w:tcW w:w="1124" w:type="dxa"/>
            <w:tcBorders>
              <w:top w:val="single" w:sz="6" w:space="0" w:color="008000"/>
              <w:bottom w:val="nil"/>
            </w:tcBorders>
            <w:shd w:val="clear" w:color="auto" w:fill="FFFFFF"/>
            <w:vAlign w:val="center"/>
          </w:tcPr>
          <w:p w:rsidR="00DC2768" w:rsidRPr="000541B8" w:rsidRDefault="00DC2768" w:rsidP="00DC2768">
            <w:pPr>
              <w:pStyle w:val="CETBodytext"/>
              <w:ind w:right="-1"/>
              <w:jc w:val="center"/>
              <w:rPr>
                <w:rFonts w:cs="Arial"/>
                <w:szCs w:val="18"/>
                <w:lang w:val="en-GB"/>
              </w:rPr>
            </w:pPr>
            <w:r w:rsidRPr="000541B8">
              <w:rPr>
                <w:lang w:val="en-GB"/>
              </w:rPr>
              <w:t>6.8</w:t>
            </w:r>
          </w:p>
        </w:tc>
        <w:tc>
          <w:tcPr>
            <w:tcW w:w="690" w:type="dxa"/>
            <w:tcBorders>
              <w:top w:val="single" w:sz="6" w:space="0" w:color="008000"/>
              <w:bottom w:val="nil"/>
            </w:tcBorders>
            <w:shd w:val="clear" w:color="auto" w:fill="FFFFFF"/>
            <w:vAlign w:val="center"/>
          </w:tcPr>
          <w:p w:rsidR="00DC2768" w:rsidRPr="000541B8" w:rsidRDefault="00DC2768" w:rsidP="00DC2768">
            <w:pPr>
              <w:pStyle w:val="CETBodytext"/>
              <w:ind w:right="-1"/>
              <w:jc w:val="center"/>
              <w:rPr>
                <w:rFonts w:cs="Arial"/>
                <w:szCs w:val="18"/>
                <w:lang w:val="en-GB"/>
              </w:rPr>
            </w:pPr>
            <w:r w:rsidRPr="000541B8">
              <w:rPr>
                <w:lang w:val="en-GB"/>
              </w:rPr>
              <w:t>21.2</w:t>
            </w:r>
          </w:p>
        </w:tc>
        <w:tc>
          <w:tcPr>
            <w:tcW w:w="1843" w:type="dxa"/>
            <w:vMerge w:val="restart"/>
            <w:tcBorders>
              <w:top w:val="single" w:sz="6" w:space="0" w:color="008000"/>
              <w:bottom w:val="single" w:sz="6" w:space="0" w:color="008000"/>
            </w:tcBorders>
            <w:shd w:val="clear" w:color="auto" w:fill="FFFFFF"/>
            <w:vAlign w:val="center"/>
          </w:tcPr>
          <w:p w:rsidR="00DC2768" w:rsidRPr="000541B8" w:rsidRDefault="00DC2768" w:rsidP="00DC2768">
            <w:pPr>
              <w:pStyle w:val="CETBodytext"/>
              <w:ind w:right="-1"/>
              <w:jc w:val="center"/>
              <w:rPr>
                <w:rFonts w:cs="Arial"/>
                <w:szCs w:val="18"/>
                <w:lang w:val="en-GB"/>
              </w:rPr>
            </w:pPr>
            <w:r w:rsidRPr="000541B8">
              <w:rPr>
                <w:lang w:val="en-GB"/>
              </w:rPr>
              <w:t>This work</w:t>
            </w:r>
          </w:p>
        </w:tc>
      </w:tr>
      <w:tr w:rsidR="00DC2768" w:rsidRPr="000541B8" w:rsidTr="00982C99">
        <w:trPr>
          <w:trHeight w:val="112"/>
        </w:trPr>
        <w:tc>
          <w:tcPr>
            <w:tcW w:w="1032" w:type="dxa"/>
            <w:vMerge/>
            <w:tcBorders>
              <w:top w:val="nil"/>
              <w:bottom w:val="single" w:sz="6" w:space="0" w:color="008000"/>
            </w:tcBorders>
            <w:shd w:val="clear" w:color="auto" w:fill="FFFFFF"/>
            <w:vAlign w:val="center"/>
          </w:tcPr>
          <w:p w:rsidR="00DC2768" w:rsidRPr="000541B8" w:rsidRDefault="00DC2768" w:rsidP="00DC2768">
            <w:pPr>
              <w:pStyle w:val="CETBodytext"/>
              <w:jc w:val="center"/>
              <w:rPr>
                <w:lang w:val="en-GB"/>
              </w:rPr>
            </w:pPr>
          </w:p>
        </w:tc>
        <w:tc>
          <w:tcPr>
            <w:tcW w:w="1367" w:type="dxa"/>
            <w:vMerge/>
            <w:tcBorders>
              <w:top w:val="nil"/>
              <w:bottom w:val="single" w:sz="6" w:space="0" w:color="008000"/>
            </w:tcBorders>
            <w:shd w:val="clear" w:color="auto" w:fill="FFFFFF"/>
            <w:vAlign w:val="center"/>
          </w:tcPr>
          <w:p w:rsidR="00DC2768" w:rsidRPr="000541B8" w:rsidRDefault="00DC2768" w:rsidP="00DC2768">
            <w:pPr>
              <w:pStyle w:val="CETBodytext"/>
              <w:jc w:val="center"/>
              <w:rPr>
                <w:lang w:val="en-GB"/>
              </w:rPr>
            </w:pPr>
          </w:p>
        </w:tc>
        <w:tc>
          <w:tcPr>
            <w:tcW w:w="1407" w:type="dxa"/>
            <w:tcBorders>
              <w:top w:val="nil"/>
              <w:bottom w:val="nil"/>
            </w:tcBorders>
            <w:shd w:val="clear" w:color="auto" w:fill="FFFFFF"/>
            <w:vAlign w:val="center"/>
          </w:tcPr>
          <w:p w:rsidR="00DC2768" w:rsidRPr="000541B8" w:rsidRDefault="00DC2768" w:rsidP="00DC2768">
            <w:pPr>
              <w:pStyle w:val="CETBodytext"/>
              <w:jc w:val="center"/>
              <w:rPr>
                <w:lang w:val="en-GB"/>
              </w:rPr>
            </w:pPr>
            <w:r w:rsidRPr="000541B8">
              <w:rPr>
                <w:lang w:val="en-GB"/>
              </w:rPr>
              <w:t>60/30 min</w:t>
            </w:r>
          </w:p>
          <w:p w:rsidR="00DC2768" w:rsidRPr="000541B8" w:rsidRDefault="00DC2768" w:rsidP="00DC2768">
            <w:pPr>
              <w:pStyle w:val="CETBodytext"/>
              <w:jc w:val="center"/>
              <w:rPr>
                <w:lang w:val="en-GB"/>
              </w:rPr>
            </w:pPr>
            <w:r w:rsidRPr="000541B8">
              <w:rPr>
                <w:lang w:val="en-GB"/>
              </w:rPr>
              <w:t>200 °C</w:t>
            </w:r>
          </w:p>
        </w:tc>
        <w:tc>
          <w:tcPr>
            <w:tcW w:w="480" w:type="dxa"/>
            <w:tcBorders>
              <w:top w:val="nil"/>
              <w:bottom w:val="nil"/>
            </w:tcBorders>
            <w:shd w:val="clear" w:color="auto" w:fill="FFFFFF"/>
            <w:vAlign w:val="center"/>
          </w:tcPr>
          <w:p w:rsidR="00DC2768" w:rsidRPr="000541B8" w:rsidRDefault="00DC2768" w:rsidP="00DC2768">
            <w:pPr>
              <w:pStyle w:val="CETBodytext"/>
              <w:ind w:right="-1"/>
              <w:jc w:val="center"/>
              <w:rPr>
                <w:rFonts w:cs="Arial"/>
                <w:szCs w:val="18"/>
                <w:lang w:val="en-GB"/>
              </w:rPr>
            </w:pPr>
            <w:proofErr w:type="spellStart"/>
            <w:r w:rsidRPr="000541B8">
              <w:rPr>
                <w:lang w:val="en-GB"/>
              </w:rPr>
              <w:t>PNb</w:t>
            </w:r>
            <w:proofErr w:type="spellEnd"/>
          </w:p>
        </w:tc>
        <w:tc>
          <w:tcPr>
            <w:tcW w:w="846" w:type="dxa"/>
            <w:tcBorders>
              <w:top w:val="nil"/>
              <w:bottom w:val="nil"/>
            </w:tcBorders>
            <w:shd w:val="clear" w:color="auto" w:fill="FFFFFF"/>
            <w:vAlign w:val="center"/>
          </w:tcPr>
          <w:p w:rsidR="00DC2768" w:rsidRPr="000541B8" w:rsidRDefault="00DC2768" w:rsidP="00DC2768">
            <w:pPr>
              <w:pStyle w:val="CETBodytext"/>
              <w:ind w:right="-1"/>
              <w:jc w:val="center"/>
              <w:rPr>
                <w:rFonts w:cs="Arial"/>
                <w:szCs w:val="18"/>
                <w:lang w:val="en-GB"/>
              </w:rPr>
            </w:pPr>
            <w:r w:rsidRPr="000541B8">
              <w:rPr>
                <w:lang w:val="en-GB"/>
              </w:rPr>
              <w:t>3:1</w:t>
            </w:r>
          </w:p>
        </w:tc>
        <w:tc>
          <w:tcPr>
            <w:tcW w:w="1124" w:type="dxa"/>
            <w:tcBorders>
              <w:top w:val="nil"/>
              <w:bottom w:val="nil"/>
            </w:tcBorders>
            <w:shd w:val="clear" w:color="auto" w:fill="FFFFFF"/>
            <w:vAlign w:val="center"/>
          </w:tcPr>
          <w:p w:rsidR="00DC2768" w:rsidRPr="000541B8" w:rsidRDefault="00DC2768" w:rsidP="00DC2768">
            <w:pPr>
              <w:pStyle w:val="CETBodytext"/>
              <w:ind w:right="-1"/>
              <w:jc w:val="center"/>
              <w:rPr>
                <w:rFonts w:cs="Arial"/>
                <w:szCs w:val="18"/>
                <w:lang w:val="en-GB"/>
              </w:rPr>
            </w:pPr>
            <w:r w:rsidRPr="000541B8">
              <w:rPr>
                <w:lang w:val="en-GB"/>
              </w:rPr>
              <w:t>7.6</w:t>
            </w:r>
          </w:p>
        </w:tc>
        <w:tc>
          <w:tcPr>
            <w:tcW w:w="690" w:type="dxa"/>
            <w:tcBorders>
              <w:top w:val="nil"/>
              <w:bottom w:val="nil"/>
            </w:tcBorders>
            <w:shd w:val="clear" w:color="auto" w:fill="FFFFFF"/>
            <w:vAlign w:val="center"/>
          </w:tcPr>
          <w:p w:rsidR="00DC2768" w:rsidRPr="000541B8" w:rsidRDefault="00DC2768" w:rsidP="00DC2768">
            <w:pPr>
              <w:pStyle w:val="CETBodytext"/>
              <w:ind w:right="-1"/>
              <w:jc w:val="center"/>
              <w:rPr>
                <w:rFonts w:cs="Arial"/>
                <w:szCs w:val="18"/>
                <w:lang w:val="en-GB"/>
              </w:rPr>
            </w:pPr>
            <w:r w:rsidRPr="000541B8">
              <w:rPr>
                <w:lang w:val="en-GB"/>
              </w:rPr>
              <w:t>43.8</w:t>
            </w:r>
          </w:p>
        </w:tc>
        <w:tc>
          <w:tcPr>
            <w:tcW w:w="1843" w:type="dxa"/>
            <w:vMerge/>
            <w:tcBorders>
              <w:top w:val="nil"/>
              <w:bottom w:val="single" w:sz="6" w:space="0" w:color="008000"/>
            </w:tcBorders>
            <w:shd w:val="clear" w:color="auto" w:fill="FFFFFF"/>
          </w:tcPr>
          <w:p w:rsidR="00DC2768" w:rsidRPr="000541B8" w:rsidRDefault="00DC2768" w:rsidP="00DC2768">
            <w:pPr>
              <w:pStyle w:val="CETBodytext"/>
              <w:ind w:right="-1"/>
              <w:rPr>
                <w:rFonts w:cs="Arial"/>
                <w:szCs w:val="18"/>
                <w:lang w:val="en-GB"/>
              </w:rPr>
            </w:pPr>
          </w:p>
        </w:tc>
      </w:tr>
      <w:tr w:rsidR="002821CF" w:rsidRPr="000541B8" w:rsidTr="00982C99">
        <w:trPr>
          <w:trHeight w:val="112"/>
        </w:trPr>
        <w:tc>
          <w:tcPr>
            <w:tcW w:w="1032" w:type="dxa"/>
            <w:vMerge/>
            <w:tcBorders>
              <w:top w:val="nil"/>
              <w:bottom w:val="single" w:sz="6" w:space="0" w:color="008000"/>
            </w:tcBorders>
            <w:shd w:val="clear" w:color="auto" w:fill="FFFFFF"/>
            <w:vAlign w:val="center"/>
          </w:tcPr>
          <w:p w:rsidR="00DC2768" w:rsidRPr="000541B8" w:rsidRDefault="00DC2768" w:rsidP="00DC2768">
            <w:pPr>
              <w:pStyle w:val="CETBodytext"/>
              <w:jc w:val="center"/>
              <w:rPr>
                <w:lang w:val="en-GB"/>
              </w:rPr>
            </w:pPr>
          </w:p>
        </w:tc>
        <w:tc>
          <w:tcPr>
            <w:tcW w:w="1367" w:type="dxa"/>
            <w:vMerge/>
            <w:tcBorders>
              <w:top w:val="nil"/>
              <w:bottom w:val="single" w:sz="6" w:space="0" w:color="008000"/>
            </w:tcBorders>
            <w:shd w:val="clear" w:color="auto" w:fill="FFFFFF"/>
            <w:vAlign w:val="center"/>
          </w:tcPr>
          <w:p w:rsidR="00DC2768" w:rsidRPr="000541B8" w:rsidRDefault="00DC2768" w:rsidP="00DC2768">
            <w:pPr>
              <w:pStyle w:val="CETBodytext"/>
              <w:jc w:val="center"/>
              <w:rPr>
                <w:lang w:val="en-GB"/>
              </w:rPr>
            </w:pPr>
          </w:p>
        </w:tc>
        <w:tc>
          <w:tcPr>
            <w:tcW w:w="1407" w:type="dxa"/>
            <w:tcBorders>
              <w:top w:val="nil"/>
              <w:bottom w:val="single" w:sz="6" w:space="0" w:color="008000"/>
            </w:tcBorders>
            <w:shd w:val="clear" w:color="auto" w:fill="FFFFFF"/>
            <w:vAlign w:val="center"/>
          </w:tcPr>
          <w:p w:rsidR="00DC2768" w:rsidRPr="000541B8" w:rsidRDefault="00DC2768" w:rsidP="00DC2768">
            <w:pPr>
              <w:pStyle w:val="CETBodytext"/>
              <w:jc w:val="center"/>
              <w:rPr>
                <w:lang w:val="en-GB"/>
              </w:rPr>
            </w:pPr>
            <w:r w:rsidRPr="000541B8">
              <w:rPr>
                <w:lang w:val="en-GB"/>
              </w:rPr>
              <w:t>90/45 min</w:t>
            </w:r>
          </w:p>
          <w:p w:rsidR="00DC2768" w:rsidRPr="000541B8" w:rsidRDefault="00DC2768" w:rsidP="00DC2768">
            <w:pPr>
              <w:pStyle w:val="CETBodytext"/>
              <w:jc w:val="center"/>
              <w:rPr>
                <w:lang w:val="en-GB"/>
              </w:rPr>
            </w:pPr>
            <w:r w:rsidRPr="000541B8">
              <w:rPr>
                <w:lang w:val="en-GB"/>
              </w:rPr>
              <w:t>200 °C</w:t>
            </w:r>
          </w:p>
        </w:tc>
        <w:tc>
          <w:tcPr>
            <w:tcW w:w="480" w:type="dxa"/>
            <w:tcBorders>
              <w:top w:val="nil"/>
              <w:bottom w:val="single" w:sz="6" w:space="0" w:color="008000"/>
            </w:tcBorders>
            <w:shd w:val="clear" w:color="auto" w:fill="FFFFFF"/>
            <w:vAlign w:val="center"/>
          </w:tcPr>
          <w:p w:rsidR="00DC2768" w:rsidRPr="000541B8" w:rsidRDefault="00DC2768" w:rsidP="00DC2768">
            <w:pPr>
              <w:pStyle w:val="CETBodytext"/>
              <w:ind w:right="-1"/>
              <w:jc w:val="center"/>
              <w:rPr>
                <w:rFonts w:cs="Arial"/>
                <w:szCs w:val="18"/>
                <w:lang w:val="en-GB"/>
              </w:rPr>
            </w:pPr>
            <w:proofErr w:type="spellStart"/>
            <w:r w:rsidRPr="000541B8">
              <w:rPr>
                <w:lang w:val="en-GB"/>
              </w:rPr>
              <w:t>HPNb</w:t>
            </w:r>
            <w:proofErr w:type="spellEnd"/>
          </w:p>
        </w:tc>
        <w:tc>
          <w:tcPr>
            <w:tcW w:w="846" w:type="dxa"/>
            <w:tcBorders>
              <w:top w:val="nil"/>
              <w:bottom w:val="single" w:sz="6" w:space="0" w:color="008000"/>
            </w:tcBorders>
            <w:shd w:val="clear" w:color="auto" w:fill="FFFFFF"/>
            <w:vAlign w:val="center"/>
          </w:tcPr>
          <w:p w:rsidR="00DC2768" w:rsidRPr="000541B8" w:rsidRDefault="00DC2768" w:rsidP="00DC2768">
            <w:pPr>
              <w:pStyle w:val="CETBodytext"/>
              <w:ind w:right="-1"/>
              <w:jc w:val="center"/>
              <w:rPr>
                <w:rFonts w:cs="Arial"/>
                <w:szCs w:val="18"/>
                <w:lang w:val="en-GB"/>
              </w:rPr>
            </w:pPr>
            <w:r w:rsidRPr="000541B8">
              <w:rPr>
                <w:lang w:val="en-GB"/>
              </w:rPr>
              <w:t>3:1</w:t>
            </w:r>
          </w:p>
        </w:tc>
        <w:tc>
          <w:tcPr>
            <w:tcW w:w="1124" w:type="dxa"/>
            <w:tcBorders>
              <w:top w:val="nil"/>
              <w:bottom w:val="single" w:sz="6" w:space="0" w:color="008000"/>
            </w:tcBorders>
            <w:shd w:val="clear" w:color="auto" w:fill="FFFFFF"/>
            <w:vAlign w:val="center"/>
          </w:tcPr>
          <w:p w:rsidR="00DC2768" w:rsidRPr="000541B8" w:rsidRDefault="00DC2768" w:rsidP="00DC2768">
            <w:pPr>
              <w:pStyle w:val="CETBodytext"/>
              <w:ind w:right="-1"/>
              <w:jc w:val="center"/>
              <w:rPr>
                <w:rFonts w:cs="Arial"/>
                <w:szCs w:val="18"/>
                <w:lang w:val="en-GB"/>
              </w:rPr>
            </w:pPr>
            <w:r w:rsidRPr="000541B8">
              <w:rPr>
                <w:lang w:val="en-GB"/>
              </w:rPr>
              <w:t>6.8</w:t>
            </w:r>
          </w:p>
        </w:tc>
        <w:tc>
          <w:tcPr>
            <w:tcW w:w="690" w:type="dxa"/>
            <w:tcBorders>
              <w:top w:val="nil"/>
              <w:bottom w:val="single" w:sz="6" w:space="0" w:color="008000"/>
            </w:tcBorders>
            <w:shd w:val="clear" w:color="auto" w:fill="FFFFFF"/>
            <w:vAlign w:val="center"/>
          </w:tcPr>
          <w:p w:rsidR="00DC2768" w:rsidRPr="000541B8" w:rsidRDefault="00DC2768" w:rsidP="00DC2768">
            <w:pPr>
              <w:pStyle w:val="CETBodytext"/>
              <w:ind w:right="-1"/>
              <w:jc w:val="center"/>
              <w:rPr>
                <w:rFonts w:cs="Arial"/>
                <w:szCs w:val="18"/>
                <w:lang w:val="en-GB"/>
              </w:rPr>
            </w:pPr>
            <w:r w:rsidRPr="000541B8">
              <w:rPr>
                <w:lang w:val="en-GB"/>
              </w:rPr>
              <w:t>40.2</w:t>
            </w:r>
          </w:p>
        </w:tc>
        <w:tc>
          <w:tcPr>
            <w:tcW w:w="1843" w:type="dxa"/>
            <w:vMerge/>
            <w:tcBorders>
              <w:top w:val="nil"/>
              <w:bottom w:val="single" w:sz="6" w:space="0" w:color="008000"/>
            </w:tcBorders>
            <w:shd w:val="clear" w:color="auto" w:fill="FFFFFF"/>
          </w:tcPr>
          <w:p w:rsidR="00DC2768" w:rsidRPr="000541B8" w:rsidRDefault="00DC2768" w:rsidP="00DC2768">
            <w:pPr>
              <w:pStyle w:val="CETBodytext"/>
              <w:ind w:right="-1"/>
              <w:rPr>
                <w:rFonts w:cs="Arial"/>
                <w:szCs w:val="18"/>
                <w:lang w:val="en-GB"/>
              </w:rPr>
            </w:pPr>
          </w:p>
        </w:tc>
      </w:tr>
    </w:tbl>
    <w:p w:rsidR="00EA4CEA" w:rsidRPr="006C4805" w:rsidRDefault="005F4994" w:rsidP="00EA4CEA">
      <w:pPr>
        <w:pStyle w:val="CETBodytext"/>
        <w:rPr>
          <w:lang w:val="en-GB"/>
        </w:rPr>
      </w:pPr>
      <w:r>
        <w:rPr>
          <w:lang w:val="en-GB"/>
        </w:rPr>
        <w:t>RM = Raw materials          Cat = catalyst          SCB = sugarcane bagasse</w:t>
      </w:r>
    </w:p>
    <w:p w:rsidR="00716012" w:rsidRPr="006C4805" w:rsidRDefault="00716012" w:rsidP="00716012">
      <w:pPr>
        <w:pStyle w:val="CETHeading1"/>
        <w:rPr>
          <w:lang w:val="en-GB"/>
        </w:rPr>
      </w:pPr>
      <w:r w:rsidRPr="006C4805">
        <w:rPr>
          <w:lang w:val="en-GB"/>
        </w:rPr>
        <w:t>Conclusions</w:t>
      </w:r>
    </w:p>
    <w:p w:rsidR="00716012" w:rsidRPr="006C4805" w:rsidRDefault="00716012" w:rsidP="00716012">
      <w:pPr>
        <w:pStyle w:val="CETBodytext"/>
        <w:rPr>
          <w:lang w:val="en-GB"/>
        </w:rPr>
      </w:pPr>
      <w:r w:rsidRPr="006C4805">
        <w:rPr>
          <w:lang w:val="en-GB"/>
        </w:rPr>
        <w:t xml:space="preserve">The experimental results made it possible to evaluate the catalytic activity of the </w:t>
      </w:r>
      <w:proofErr w:type="spellStart"/>
      <w:r w:rsidRPr="006C4805">
        <w:rPr>
          <w:lang w:val="en-GB"/>
        </w:rPr>
        <w:t>PNb</w:t>
      </w:r>
      <w:proofErr w:type="spellEnd"/>
      <w:r w:rsidRPr="006C4805">
        <w:rPr>
          <w:lang w:val="en-GB"/>
        </w:rPr>
        <w:t xml:space="preserve">, </w:t>
      </w:r>
      <w:proofErr w:type="spellStart"/>
      <w:r w:rsidRPr="006C4805">
        <w:rPr>
          <w:lang w:val="en-GB"/>
        </w:rPr>
        <w:t>HNb</w:t>
      </w:r>
      <w:proofErr w:type="spellEnd"/>
      <w:r w:rsidRPr="006C4805">
        <w:rPr>
          <w:lang w:val="en-GB"/>
        </w:rPr>
        <w:t xml:space="preserve">, and </w:t>
      </w:r>
      <w:proofErr w:type="spellStart"/>
      <w:r w:rsidRPr="006C4805">
        <w:rPr>
          <w:lang w:val="en-GB"/>
        </w:rPr>
        <w:t>HPNb</w:t>
      </w:r>
      <w:proofErr w:type="spellEnd"/>
      <w:r w:rsidRPr="006C4805">
        <w:rPr>
          <w:lang w:val="en-GB"/>
        </w:rPr>
        <w:t xml:space="preserve"> catalysts for simultaneously converting holocellulose into HMF and FF. This evaluation was based on the yield of glucose, xylose, HMF, and FF as a function of time and temperature. In addition, it was shown that the maximum yield of HMF and FF occurs under different conditions for each catalyst. </w:t>
      </w:r>
      <w:proofErr w:type="spellStart"/>
      <w:r w:rsidRPr="006C4805">
        <w:rPr>
          <w:lang w:val="en-GB"/>
        </w:rPr>
        <w:t>PNb</w:t>
      </w:r>
      <w:proofErr w:type="spellEnd"/>
      <w:r w:rsidRPr="006C4805">
        <w:rPr>
          <w:lang w:val="en-GB"/>
        </w:rPr>
        <w:t xml:space="preserve"> was the catalyst that showed superior catalytic activity compared to the other catalysts when milder times and temperatures were considered. On the other hand, the use of </w:t>
      </w:r>
      <w:proofErr w:type="spellStart"/>
      <w:r w:rsidRPr="006C4805">
        <w:rPr>
          <w:lang w:val="en-GB"/>
        </w:rPr>
        <w:t>HPNb</w:t>
      </w:r>
      <w:proofErr w:type="spellEnd"/>
      <w:r w:rsidRPr="006C4805">
        <w:rPr>
          <w:lang w:val="en-GB"/>
        </w:rPr>
        <w:t xml:space="preserve"> did not reveal results that justified its use. This work provides valuable insights that could guide the development of new technologies for the efficient production of HMF and FF, opening up promising new avenues in high-value-added compound production.</w:t>
      </w:r>
    </w:p>
    <w:p w:rsidR="00271593" w:rsidRPr="006C4805" w:rsidRDefault="00271593" w:rsidP="00DE7A52">
      <w:pPr>
        <w:pStyle w:val="CETBodytext"/>
        <w:spacing w:before="240" w:after="240"/>
        <w:rPr>
          <w:b/>
          <w:bCs/>
          <w:lang w:val="en-GB"/>
        </w:rPr>
      </w:pPr>
      <w:r w:rsidRPr="006C4805">
        <w:rPr>
          <w:b/>
          <w:bCs/>
          <w:lang w:val="en-GB"/>
        </w:rPr>
        <w:t>Acknowledgments</w:t>
      </w:r>
    </w:p>
    <w:p w:rsidR="00271593" w:rsidRPr="006C4805" w:rsidRDefault="00087E74" w:rsidP="00271593">
      <w:pPr>
        <w:pStyle w:val="CETBodytext"/>
      </w:pPr>
      <w:r w:rsidRPr="006C4805">
        <w:t xml:space="preserve">The authors thank the Brazilian Research Agencies (CAPES) [grant no. 88887.505928/2020-00], São Paulo State Research Foundation (FAPESP) [grant no. 2015/20630-4] for the financial support and to </w:t>
      </w:r>
      <w:proofErr w:type="spellStart"/>
      <w:r w:rsidR="00407DAD" w:rsidRPr="006C4805">
        <w:t>Companhia</w:t>
      </w:r>
      <w:proofErr w:type="spellEnd"/>
      <w:r w:rsidR="00407DAD" w:rsidRPr="006C4805">
        <w:t xml:space="preserve"> </w:t>
      </w:r>
      <w:proofErr w:type="spellStart"/>
      <w:r w:rsidR="00407DAD" w:rsidRPr="006C4805">
        <w:t>Brasileira</w:t>
      </w:r>
      <w:proofErr w:type="spellEnd"/>
      <w:r w:rsidR="00407DAD" w:rsidRPr="006C4805">
        <w:t xml:space="preserve"> de </w:t>
      </w:r>
      <w:proofErr w:type="spellStart"/>
      <w:r w:rsidR="00407DAD" w:rsidRPr="006C4805">
        <w:t>Metais</w:t>
      </w:r>
      <w:proofErr w:type="spellEnd"/>
      <w:r w:rsidR="00407DAD" w:rsidRPr="006C4805">
        <w:t xml:space="preserve"> e </w:t>
      </w:r>
      <w:proofErr w:type="spellStart"/>
      <w:r w:rsidR="00407DAD" w:rsidRPr="006C4805">
        <w:t>Metalurgia</w:t>
      </w:r>
      <w:proofErr w:type="spellEnd"/>
      <w:r w:rsidR="00407DAD" w:rsidRPr="006C4805">
        <w:t xml:space="preserve"> (</w:t>
      </w:r>
      <w:r w:rsidRPr="006C4805">
        <w:t>CBMM</w:t>
      </w:r>
      <w:r w:rsidR="00407DAD" w:rsidRPr="006C4805">
        <w:t>)</w:t>
      </w:r>
      <w:r w:rsidRPr="006C4805">
        <w:t xml:space="preserve"> for supplying the catalysts used in this work. </w:t>
      </w:r>
    </w:p>
    <w:p w:rsidR="0073619E" w:rsidRPr="006C4805" w:rsidRDefault="0073619E" w:rsidP="0073619E">
      <w:pPr>
        <w:pStyle w:val="CETBodytext"/>
        <w:rPr>
          <w:lang w:val="en-GB"/>
        </w:rPr>
      </w:pPr>
    </w:p>
    <w:p w:rsidR="00271593" w:rsidRPr="006C4805" w:rsidRDefault="00271593" w:rsidP="00271593">
      <w:pPr>
        <w:pStyle w:val="CETReferencetext"/>
        <w:spacing w:after="240"/>
        <w:rPr>
          <w:b/>
          <w:bCs/>
        </w:rPr>
      </w:pPr>
      <w:r w:rsidRPr="006C4805">
        <w:rPr>
          <w:b/>
          <w:bCs/>
        </w:rPr>
        <w:t>References</w:t>
      </w:r>
    </w:p>
    <w:bookmarkEnd w:id="0"/>
    <w:p w:rsidR="004628D2" w:rsidRPr="006C4805" w:rsidRDefault="00985DAA" w:rsidP="00985DAA">
      <w:pPr>
        <w:pStyle w:val="CETReferencetext"/>
      </w:pPr>
      <w:proofErr w:type="spellStart"/>
      <w:r w:rsidRPr="006C4805">
        <w:t>Batamack</w:t>
      </w:r>
      <w:proofErr w:type="spellEnd"/>
      <w:r w:rsidRPr="006C4805">
        <w:t xml:space="preserve">, P., Vincent, R., &amp; </w:t>
      </w:r>
      <w:proofErr w:type="spellStart"/>
      <w:r w:rsidRPr="006C4805">
        <w:t>Fraissard</w:t>
      </w:r>
      <w:proofErr w:type="spellEnd"/>
      <w:r w:rsidRPr="006C4805">
        <w:t>, J. (1996). Niobium oxide acidity studied by proton broad-line NMR at 4 K and MAS NMR at room temperature. Catalysis letters, 36, 81-86. https://doi.org/10.1007/BF00807209</w:t>
      </w:r>
    </w:p>
    <w:p w:rsidR="001F51CE" w:rsidRPr="006C4805" w:rsidRDefault="001F51CE" w:rsidP="00985DAA">
      <w:pPr>
        <w:pStyle w:val="CETReferencetext"/>
      </w:pPr>
      <w:r w:rsidRPr="006C4805">
        <w:t>Bozell, J. J., &amp; Petersen, G. R. (2010). Technology development for the production of biobased products from biorefinery carbohydrates—the US Department of Energy’s “Top 10” revisited. Green chemistry, 12(4), 539-554. https://doi.org/10.1039/B922014C</w:t>
      </w:r>
    </w:p>
    <w:p w:rsidR="001F51CE" w:rsidRPr="006C4805" w:rsidRDefault="001F51CE" w:rsidP="00985DAA">
      <w:pPr>
        <w:pStyle w:val="CETReferencetext"/>
      </w:pPr>
      <w:proofErr w:type="spellStart"/>
      <w:r w:rsidRPr="006C4805">
        <w:t>Catrinck</w:t>
      </w:r>
      <w:proofErr w:type="spellEnd"/>
      <w:r w:rsidRPr="006C4805">
        <w:t xml:space="preserve">, M. N., Barbosa, P. S., Helder Filho, R. O., Monteiro, R. S., Barbosa, M. H., </w:t>
      </w:r>
      <w:proofErr w:type="spellStart"/>
      <w:r w:rsidRPr="006C4805">
        <w:t>Ribas</w:t>
      </w:r>
      <w:proofErr w:type="spellEnd"/>
      <w:r w:rsidRPr="006C4805">
        <w:t>, R. M., &amp; Teófilo, R. F. (2020). One-step process to produce furfural from sugarcane bagasse over niobium-based solid acid catalysts in a water medium. Fuel Processing Technology, 207, 106482. https://doi.org/10.1016/j.fuproc.2020.106482</w:t>
      </w:r>
    </w:p>
    <w:p w:rsidR="001F51CE" w:rsidRPr="006C4805" w:rsidRDefault="001F51CE" w:rsidP="00985DAA">
      <w:pPr>
        <w:pStyle w:val="CETReferencetext"/>
      </w:pPr>
      <w:proofErr w:type="spellStart"/>
      <w:r w:rsidRPr="006C4805">
        <w:t>Catrinck</w:t>
      </w:r>
      <w:proofErr w:type="spellEnd"/>
      <w:r w:rsidRPr="006C4805">
        <w:t xml:space="preserve">, M. N., Ribeiro, E. S., Monteiro, R. S., </w:t>
      </w:r>
      <w:proofErr w:type="spellStart"/>
      <w:r w:rsidRPr="006C4805">
        <w:t>Ribas</w:t>
      </w:r>
      <w:proofErr w:type="spellEnd"/>
      <w:r w:rsidRPr="006C4805">
        <w:t>, R. M., Barbosa, M. H., &amp; Teófilo, R. F. (2017). Direct conversion of glucose to 5-hydroxymethylfurfural using a mixture of niobic acid and niobium phosphate as a solid acid catalyst. Fuel, 210, 67-74. https://doi.org/10.1016/j.fuel.2017.08.035</w:t>
      </w:r>
    </w:p>
    <w:p w:rsidR="001F51CE" w:rsidRPr="006C4805" w:rsidRDefault="001F51CE" w:rsidP="00985DAA">
      <w:pPr>
        <w:pStyle w:val="CETReferencetext"/>
      </w:pPr>
      <w:r w:rsidRPr="006C4805">
        <w:t xml:space="preserve">De Carvalho, E.G.L., </w:t>
      </w:r>
      <w:proofErr w:type="spellStart"/>
      <w:r w:rsidRPr="006C4805">
        <w:t>Rodrigues</w:t>
      </w:r>
      <w:proofErr w:type="spellEnd"/>
      <w:r w:rsidRPr="006C4805">
        <w:t xml:space="preserve">, F.D.A., </w:t>
      </w:r>
      <w:proofErr w:type="spellStart"/>
      <w:r w:rsidRPr="006C4805">
        <w:t>Monteiro</w:t>
      </w:r>
      <w:proofErr w:type="spellEnd"/>
      <w:r w:rsidRPr="006C4805">
        <w:t xml:space="preserve">, R.S., </w:t>
      </w:r>
      <w:proofErr w:type="spellStart"/>
      <w:r w:rsidRPr="006C4805">
        <w:t>Ribas</w:t>
      </w:r>
      <w:proofErr w:type="spellEnd"/>
      <w:r w:rsidRPr="006C4805">
        <w:t xml:space="preserve">, R.M., </w:t>
      </w:r>
      <w:proofErr w:type="spellStart"/>
      <w:r w:rsidRPr="006C4805">
        <w:t>Da</w:t>
      </w:r>
      <w:proofErr w:type="spellEnd"/>
      <w:r w:rsidRPr="006C4805">
        <w:t xml:space="preserve"> Silva, M.J., 2018. Experimental design and economic analysis of 5-hydroxymethylfurfural synthesis from fructose in acetone-water system using niobium phosphate as catalyst, Biomass Conv. </w:t>
      </w:r>
      <w:proofErr w:type="spellStart"/>
      <w:r w:rsidRPr="006C4805">
        <w:t>Bioref</w:t>
      </w:r>
      <w:proofErr w:type="spellEnd"/>
      <w:r w:rsidRPr="006C4805">
        <w:t>. 8 (3) 635–646.https://doi.org/10.1007/s13399-018-0319-5</w:t>
      </w:r>
    </w:p>
    <w:p w:rsidR="001F51CE" w:rsidRPr="006C4805" w:rsidRDefault="001F51CE" w:rsidP="00985DAA">
      <w:pPr>
        <w:pStyle w:val="CETReferencetext"/>
      </w:pPr>
      <w:r w:rsidRPr="006C4805">
        <w:t xml:space="preserve">De Carvalho, R.S., Rodrigues, F.Á, Monteiro, R.S., Da Silva Faria, W.L., (2019).Optimization of furfural synthesis from xylose using niobic acid and niobium phosphate as catalysts. Waste and Biomass </w:t>
      </w:r>
      <w:proofErr w:type="spellStart"/>
      <w:r w:rsidRPr="006C4805">
        <w:t>Valorization</w:t>
      </w:r>
      <w:proofErr w:type="spellEnd"/>
      <w:r w:rsidRPr="006C4805">
        <w:t>, 10, 2673-2680.https://doi.org/10.1007/s12649-018-0272-3</w:t>
      </w:r>
    </w:p>
    <w:p w:rsidR="001F51CE" w:rsidRPr="006C4805" w:rsidRDefault="001F51CE" w:rsidP="00985DAA">
      <w:pPr>
        <w:pStyle w:val="CETReferencetext"/>
      </w:pPr>
      <w:r w:rsidRPr="006C4805">
        <w:t>De Jesus Junior, M. M., Fernandes, S. A., Borges, E., Baeta, B. E. L., &amp; de Ávila Rodrigues, F. (2022). Kinetic study of the conversion of glucose to 5-hydroxymethylfurfural using niobium phosphate. Molecular Catalysis, 518, 112079. https://doi.org/10.1016/j.mcat.2021.112079</w:t>
      </w:r>
    </w:p>
    <w:p w:rsidR="001F51CE" w:rsidRPr="006C4805" w:rsidRDefault="001F51CE" w:rsidP="00985DAA">
      <w:pPr>
        <w:pStyle w:val="CETReferencetext"/>
      </w:pPr>
      <w:r w:rsidRPr="006C4805">
        <w:lastRenderedPageBreak/>
        <w:t>Fan, G., Chen, Y., Lu, Y., Cheng, Q., Chai, B., &amp; Song, G. (2023). Co-production of 5-hydroxymethyl furfural and furfural from holocellulose over UiO-66-derived acid-base catalysts. Chemical Engineering Science, 276, 118768. https://doi.org/10.1016/j.ces.2023.118768</w:t>
      </w:r>
    </w:p>
    <w:p w:rsidR="001F51CE" w:rsidRPr="006C4805" w:rsidRDefault="001F51CE" w:rsidP="00985DAA">
      <w:pPr>
        <w:pStyle w:val="CETReferencetext"/>
      </w:pPr>
      <w:r w:rsidRPr="006C4805">
        <w:t>Fan, G., Wang, Y., Hu, Z., Yan, J., Li, J., &amp; Song, G. (2018). Synthesis of 5-hydroxymethyl furfural from cellulose via a two-step process in polar aprotic solvent. Carbohydrate polymers, 200, 529-535. https://doi.org/10.1016/j.carbpol.2018.08.043</w:t>
      </w:r>
    </w:p>
    <w:p w:rsidR="001F51CE" w:rsidRPr="006C4805" w:rsidRDefault="001F51CE" w:rsidP="00985DAA">
      <w:pPr>
        <w:pStyle w:val="CETReferencetext"/>
      </w:pPr>
      <w:r w:rsidRPr="006C4805">
        <w:t xml:space="preserve">Fan, X., Ren, M., Zhou, C., Kong, F., Hua, C., </w:t>
      </w:r>
      <w:proofErr w:type="spellStart"/>
      <w:r w:rsidRPr="006C4805">
        <w:t>Fakayode</w:t>
      </w:r>
      <w:proofErr w:type="spellEnd"/>
      <w:r w:rsidRPr="006C4805">
        <w:t xml:space="preserve">, O. A., ... &amp; Wang, X. (2024). Total utilization of lignocellulosic biomass with </w:t>
      </w:r>
      <w:proofErr w:type="spellStart"/>
      <w:r w:rsidRPr="006C4805">
        <w:t>xylooligosaccharides</w:t>
      </w:r>
      <w:proofErr w:type="spellEnd"/>
      <w:r w:rsidRPr="006C4805">
        <w:t xml:space="preserve"> production priority: A review. Biomass and Bioenergy, 181, 107038. https://doi.org/10.1016/j.biombioe.2023.107038</w:t>
      </w:r>
    </w:p>
    <w:p w:rsidR="001F51CE" w:rsidRPr="006C4805" w:rsidRDefault="001F51CE" w:rsidP="00985DAA">
      <w:pPr>
        <w:pStyle w:val="CETReferencetext"/>
      </w:pPr>
      <w:r w:rsidRPr="006C4805">
        <w:t xml:space="preserve">Fernández-Coppel, I. A., Barbosa-Evaristo, A., Corrêa-Guimarães, A., Martín-Gil, J., </w:t>
      </w:r>
      <w:proofErr w:type="spellStart"/>
      <w:r w:rsidRPr="006C4805">
        <w:t>Navas-Gracia</w:t>
      </w:r>
      <w:proofErr w:type="spellEnd"/>
      <w:r w:rsidRPr="006C4805">
        <w:t xml:space="preserve">, L. M., &amp; Martín-Ramos, P. (2018). Life cycle analysis of </w:t>
      </w:r>
      <w:proofErr w:type="spellStart"/>
      <w:r w:rsidRPr="006C4805">
        <w:t>macauba</w:t>
      </w:r>
      <w:proofErr w:type="spellEnd"/>
      <w:r w:rsidRPr="006C4805">
        <w:t xml:space="preserve"> palm cultivation: a promising crop for biofuel production. Industrial Crops and Products, 125, 556-566. https://doi.org/10.1016/j.indcrop.2018.09.036</w:t>
      </w:r>
    </w:p>
    <w:p w:rsidR="001F51CE" w:rsidRPr="006C4805" w:rsidRDefault="001F51CE" w:rsidP="00985DAA">
      <w:pPr>
        <w:pStyle w:val="CETReferencetext"/>
      </w:pPr>
      <w:r w:rsidRPr="006C4805">
        <w:t xml:space="preserve">Lu, Y., He, Q., Peng, Q., Chen, W., Cheng, Q., Song, G., &amp; Fan, G. (2021). Directional synthesis of furfural compounds from </w:t>
      </w:r>
      <w:proofErr w:type="spellStart"/>
      <w:r w:rsidRPr="006C4805">
        <w:t>holocellulose</w:t>
      </w:r>
      <w:proofErr w:type="spellEnd"/>
      <w:r w:rsidRPr="006C4805">
        <w:t xml:space="preserve"> catalyzed by </w:t>
      </w:r>
      <w:proofErr w:type="spellStart"/>
      <w:r w:rsidRPr="006C4805">
        <w:t>sulfamic</w:t>
      </w:r>
      <w:proofErr w:type="spellEnd"/>
      <w:r w:rsidRPr="006C4805">
        <w:t xml:space="preserve"> acid. Cellulose, 28, 8343-8354. https://doi.org/10.1007/s10570-021-04070-8</w:t>
      </w:r>
    </w:p>
    <w:p w:rsidR="001F51CE" w:rsidRPr="006C4805" w:rsidRDefault="001F51CE" w:rsidP="00985DAA">
      <w:pPr>
        <w:pStyle w:val="CETReferencetext"/>
      </w:pPr>
      <w:r w:rsidRPr="006C4805">
        <w:t xml:space="preserve">Mika, L. T., </w:t>
      </w:r>
      <w:proofErr w:type="spellStart"/>
      <w:r w:rsidRPr="006C4805">
        <w:t>Cséfalvay</w:t>
      </w:r>
      <w:proofErr w:type="spellEnd"/>
      <w:r w:rsidRPr="006C4805">
        <w:t>, E., &amp; Németh, Á. (2018). Catalytic conversion of carbohydrates to initial platform chemicals: chemistry and sustainability. Chemical reviews, 118(2), 505-613. https://doi.org/10.1021/acs.chemrev.7b00395</w:t>
      </w:r>
    </w:p>
    <w:p w:rsidR="001F51CE" w:rsidRPr="006C4805" w:rsidRDefault="001F51CE" w:rsidP="00985DAA">
      <w:pPr>
        <w:pStyle w:val="CETReferencetext"/>
      </w:pPr>
      <w:r w:rsidRPr="006C4805">
        <w:t>Nakajima, K., Baba, Y., Noma, R., Kitano, M., Kondo, J. N., Hayashi, S., &amp; Hara, M. (2011). Nb2O5· nH2O as a heterogeneous catalyst with water-tolerant Lewis acid sites. Journal of the American Chemical Society, 133(12), 4224-4227. https://doi.org/10.1021/ja110482r</w:t>
      </w:r>
    </w:p>
    <w:p w:rsidR="001F51CE" w:rsidRPr="006C4805" w:rsidRDefault="001F51CE" w:rsidP="00985DAA">
      <w:pPr>
        <w:pStyle w:val="CETReferencetext"/>
      </w:pPr>
      <w:r w:rsidRPr="006C4805">
        <w:t>Perez, G. P., Mukherjee, A., &amp; Dumont, M. J. (2019). Insights into HMF catalysis. Journal of Industrial and Engineering Chemistry, 70, 1-34. https://doi.org/10.1016/j.jiec.2018.10.002</w:t>
      </w:r>
    </w:p>
    <w:p w:rsidR="001F51CE" w:rsidRPr="006C4805" w:rsidRDefault="001F51CE" w:rsidP="00985DAA">
      <w:pPr>
        <w:pStyle w:val="CETReferencetext"/>
      </w:pPr>
      <w:r w:rsidRPr="006C4805">
        <w:t>Rodriguez-Alvarez, M. J., Garcia-Garrido, S. E., Perrone, S., García-Álvarez, J., &amp; Capriati, V. (2023). Deep eutectic solvents and heterogeneous catalysis with metallic nanoparticles: A powerful partnership in sustainable synthesis. Current Opinion in Green and Sustainable Chemistry, 39, 100723. https://doi.org/10.1016/j.cogsc.2022.100723</w:t>
      </w:r>
    </w:p>
    <w:p w:rsidR="001F51CE" w:rsidRPr="006C4805" w:rsidRDefault="001F51CE" w:rsidP="00985DAA">
      <w:pPr>
        <w:pStyle w:val="CETReferencetext"/>
      </w:pPr>
      <w:proofErr w:type="spellStart"/>
      <w:r w:rsidRPr="006C4805">
        <w:t>Wataniyakul</w:t>
      </w:r>
      <w:proofErr w:type="spellEnd"/>
      <w:r w:rsidRPr="006C4805">
        <w:t xml:space="preserve">, P., </w:t>
      </w:r>
      <w:proofErr w:type="spellStart"/>
      <w:r w:rsidRPr="006C4805">
        <w:t>Boonnoun</w:t>
      </w:r>
      <w:proofErr w:type="spellEnd"/>
      <w:r w:rsidRPr="006C4805">
        <w:t xml:space="preserve">, P., Quitain, A. T., Sasaki, M., Kida, T., </w:t>
      </w:r>
      <w:proofErr w:type="spellStart"/>
      <w:r w:rsidRPr="006C4805">
        <w:t>Laosiripojana</w:t>
      </w:r>
      <w:proofErr w:type="spellEnd"/>
      <w:r w:rsidRPr="006C4805">
        <w:t xml:space="preserve">, N., &amp; </w:t>
      </w:r>
      <w:proofErr w:type="spellStart"/>
      <w:r w:rsidRPr="006C4805">
        <w:t>Shotipruk</w:t>
      </w:r>
      <w:proofErr w:type="spellEnd"/>
      <w:r w:rsidRPr="006C4805">
        <w:t>, A. (2018). Preparation of hydrothermal carbon as catalyst support for conversion of biomass to 5-hydroxymethylfurfural. Catalysis Communications, 104, 41-47. https://doi.org/10.1016/j.catcom.2017.10.014</w:t>
      </w:r>
    </w:p>
    <w:p w:rsidR="001F51CE" w:rsidRPr="006C4805" w:rsidRDefault="001F51CE" w:rsidP="00985DAA">
      <w:pPr>
        <w:pStyle w:val="CETReferencetext"/>
      </w:pPr>
      <w:r w:rsidRPr="006C4805">
        <w:t>You, L., Liu, T., Liu, D., &amp; Zhao, X. (2023). Efficient conversion of glucose to 5-hydroxymethylfurfural by synergetic catalysis of enzymes and chemical catalysts towards potential large-scale continuous operation. Chemical Engineering Journal, 459, 141552. https://doi.org/10.1016/j.cej.2023.141552</w:t>
      </w:r>
    </w:p>
    <w:p w:rsidR="001F51CE" w:rsidRPr="006C4805" w:rsidRDefault="001F51CE" w:rsidP="00985DAA">
      <w:pPr>
        <w:pStyle w:val="CETReferencetext"/>
      </w:pPr>
      <w:r w:rsidRPr="006C4805">
        <w:t>Zhang, W., Zhang, B., Lei, F., Li, P., &amp; Jiang, J. (2022). Coproduction xylo-oligosaccharides with low degree of polymerization and glucose from sugarcane bagasse by non-isothermal subcritical carbon dioxide assisted seawater autohydrolysis. Bioresource Technology, 349, 126866. https://doi.org/10.1016/j.biortech. 2022.126866</w:t>
      </w:r>
    </w:p>
    <w:p w:rsidR="001F51CE" w:rsidRDefault="001F51CE" w:rsidP="00985DAA">
      <w:pPr>
        <w:pStyle w:val="CETReferencetext"/>
      </w:pPr>
      <w:r w:rsidRPr="006C4805">
        <w:t>Zhang, Y., Wang, J., Li, X., Liu, X., Xia, Y., Hu, B., ... &amp; Wang, Y. (2015). Direct conversion of biomass-derived carbohydrates to 5-hydroxymethylfurural over water-tolerant niobium-based catalysts. Fuel, 139, 301-307. https://doi.org/10.1016/j.fuel.2014.08.047</w:t>
      </w:r>
    </w:p>
    <w:sectPr w:rsidR="001F51CE"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159" w:rsidRDefault="00D10159" w:rsidP="004F5E36">
      <w:r>
        <w:separator/>
      </w:r>
    </w:p>
  </w:endnote>
  <w:endnote w:type="continuationSeparator" w:id="0">
    <w:p w:rsidR="00D10159" w:rsidRDefault="00D10159" w:rsidP="004F5E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159" w:rsidRDefault="00D10159" w:rsidP="004F5E36">
      <w:r>
        <w:separator/>
      </w:r>
    </w:p>
  </w:footnote>
  <w:footnote w:type="continuationSeparator" w:id="0">
    <w:p w:rsidR="00D10159" w:rsidRDefault="00D10159" w:rsidP="004F5E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stylePaneFormatFilter w:val="1001"/>
  <w:documentProtection w:edit="forms" w:enforcement="0"/>
  <w:styleLockTheme/>
  <w:styleLockQFSet/>
  <w:defaultTabStop w:val="708"/>
  <w:hyphenationZone w:val="283"/>
  <w:clickAndTypeStyle w:val="CETBodytext"/>
  <w:characterSpacingControl w:val="doNotCompress"/>
  <w:hdrShapeDefaults>
    <o:shapedefaults v:ext="edit" spidmax="8194"/>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22FB4"/>
    <w:rsid w:val="0003148D"/>
    <w:rsid w:val="000315D5"/>
    <w:rsid w:val="00031EEC"/>
    <w:rsid w:val="00036313"/>
    <w:rsid w:val="000410AB"/>
    <w:rsid w:val="00042BBB"/>
    <w:rsid w:val="00045A7F"/>
    <w:rsid w:val="00051566"/>
    <w:rsid w:val="000541B8"/>
    <w:rsid w:val="000562A9"/>
    <w:rsid w:val="00056C6F"/>
    <w:rsid w:val="000616C8"/>
    <w:rsid w:val="00061EC3"/>
    <w:rsid w:val="00062A9A"/>
    <w:rsid w:val="00065058"/>
    <w:rsid w:val="00070169"/>
    <w:rsid w:val="00073619"/>
    <w:rsid w:val="00081DAB"/>
    <w:rsid w:val="00086C39"/>
    <w:rsid w:val="00087E74"/>
    <w:rsid w:val="00092ED8"/>
    <w:rsid w:val="00097077"/>
    <w:rsid w:val="000A03B2"/>
    <w:rsid w:val="000A050C"/>
    <w:rsid w:val="000B4356"/>
    <w:rsid w:val="000D0268"/>
    <w:rsid w:val="000D34BE"/>
    <w:rsid w:val="000D7E09"/>
    <w:rsid w:val="000E102F"/>
    <w:rsid w:val="000E36F1"/>
    <w:rsid w:val="000E3A73"/>
    <w:rsid w:val="000E414A"/>
    <w:rsid w:val="000E4266"/>
    <w:rsid w:val="000F093C"/>
    <w:rsid w:val="000F2AF8"/>
    <w:rsid w:val="000F787B"/>
    <w:rsid w:val="00100327"/>
    <w:rsid w:val="00111F62"/>
    <w:rsid w:val="001122A9"/>
    <w:rsid w:val="0011403F"/>
    <w:rsid w:val="0012091F"/>
    <w:rsid w:val="00125A15"/>
    <w:rsid w:val="00126BC2"/>
    <w:rsid w:val="001308B6"/>
    <w:rsid w:val="0013121F"/>
    <w:rsid w:val="00131FE6"/>
    <w:rsid w:val="0013263F"/>
    <w:rsid w:val="001331DF"/>
    <w:rsid w:val="00134DE4"/>
    <w:rsid w:val="00140007"/>
    <w:rsid w:val="0014034D"/>
    <w:rsid w:val="00140736"/>
    <w:rsid w:val="00144D16"/>
    <w:rsid w:val="00150E59"/>
    <w:rsid w:val="00152DE3"/>
    <w:rsid w:val="00156F74"/>
    <w:rsid w:val="00164CF9"/>
    <w:rsid w:val="001667A6"/>
    <w:rsid w:val="001701BD"/>
    <w:rsid w:val="00183488"/>
    <w:rsid w:val="00184264"/>
    <w:rsid w:val="00184AD6"/>
    <w:rsid w:val="0018543D"/>
    <w:rsid w:val="00186548"/>
    <w:rsid w:val="001954D4"/>
    <w:rsid w:val="001A36B9"/>
    <w:rsid w:val="001A4AF7"/>
    <w:rsid w:val="001B0349"/>
    <w:rsid w:val="001B1E93"/>
    <w:rsid w:val="001B3B81"/>
    <w:rsid w:val="001B65C1"/>
    <w:rsid w:val="001C589C"/>
    <w:rsid w:val="001C6143"/>
    <w:rsid w:val="001C684B"/>
    <w:rsid w:val="001C6ACC"/>
    <w:rsid w:val="001D0CFB"/>
    <w:rsid w:val="001D21AF"/>
    <w:rsid w:val="001D53FC"/>
    <w:rsid w:val="001E5062"/>
    <w:rsid w:val="001F18B3"/>
    <w:rsid w:val="001F42A5"/>
    <w:rsid w:val="001F51CE"/>
    <w:rsid w:val="001F7B9D"/>
    <w:rsid w:val="00201C93"/>
    <w:rsid w:val="00206BAC"/>
    <w:rsid w:val="00211B1E"/>
    <w:rsid w:val="00221E0F"/>
    <w:rsid w:val="002224B4"/>
    <w:rsid w:val="00225A21"/>
    <w:rsid w:val="00227614"/>
    <w:rsid w:val="0023302E"/>
    <w:rsid w:val="002363A6"/>
    <w:rsid w:val="002447EF"/>
    <w:rsid w:val="00244A60"/>
    <w:rsid w:val="00251550"/>
    <w:rsid w:val="00263B05"/>
    <w:rsid w:val="00271593"/>
    <w:rsid w:val="0027221A"/>
    <w:rsid w:val="00275B61"/>
    <w:rsid w:val="00280FAF"/>
    <w:rsid w:val="002821CF"/>
    <w:rsid w:val="00282656"/>
    <w:rsid w:val="00285A9E"/>
    <w:rsid w:val="0029048F"/>
    <w:rsid w:val="00291D0F"/>
    <w:rsid w:val="00294C1E"/>
    <w:rsid w:val="00296B83"/>
    <w:rsid w:val="002A1206"/>
    <w:rsid w:val="002B4015"/>
    <w:rsid w:val="002B78CE"/>
    <w:rsid w:val="002C03C0"/>
    <w:rsid w:val="002C0D40"/>
    <w:rsid w:val="002C2FB6"/>
    <w:rsid w:val="002C64FC"/>
    <w:rsid w:val="002D0173"/>
    <w:rsid w:val="002D26FC"/>
    <w:rsid w:val="002D4A30"/>
    <w:rsid w:val="002E1D49"/>
    <w:rsid w:val="002E5FA7"/>
    <w:rsid w:val="002F255D"/>
    <w:rsid w:val="002F3309"/>
    <w:rsid w:val="002F3FE7"/>
    <w:rsid w:val="003008CE"/>
    <w:rsid w:val="003009B7"/>
    <w:rsid w:val="00300E56"/>
    <w:rsid w:val="0030152C"/>
    <w:rsid w:val="00301E03"/>
    <w:rsid w:val="0030469C"/>
    <w:rsid w:val="00304F28"/>
    <w:rsid w:val="00306B76"/>
    <w:rsid w:val="003072AF"/>
    <w:rsid w:val="0031116A"/>
    <w:rsid w:val="003118DE"/>
    <w:rsid w:val="00314C4B"/>
    <w:rsid w:val="00321CA6"/>
    <w:rsid w:val="00323763"/>
    <w:rsid w:val="00323ABC"/>
    <w:rsid w:val="00323C5F"/>
    <w:rsid w:val="00334C09"/>
    <w:rsid w:val="003603DE"/>
    <w:rsid w:val="00361C23"/>
    <w:rsid w:val="00363FA4"/>
    <w:rsid w:val="003723D4"/>
    <w:rsid w:val="00377D47"/>
    <w:rsid w:val="00380F37"/>
    <w:rsid w:val="00381905"/>
    <w:rsid w:val="00384CC8"/>
    <w:rsid w:val="003871FD"/>
    <w:rsid w:val="003948B2"/>
    <w:rsid w:val="00396BA6"/>
    <w:rsid w:val="003A1E30"/>
    <w:rsid w:val="003A2829"/>
    <w:rsid w:val="003A3935"/>
    <w:rsid w:val="003A3CDE"/>
    <w:rsid w:val="003A6FC6"/>
    <w:rsid w:val="003A7D1C"/>
    <w:rsid w:val="003B304B"/>
    <w:rsid w:val="003B3146"/>
    <w:rsid w:val="003B646D"/>
    <w:rsid w:val="003B7612"/>
    <w:rsid w:val="003C17A0"/>
    <w:rsid w:val="003C2F39"/>
    <w:rsid w:val="003E2C4F"/>
    <w:rsid w:val="003E2C58"/>
    <w:rsid w:val="003F015E"/>
    <w:rsid w:val="003F62FC"/>
    <w:rsid w:val="00400414"/>
    <w:rsid w:val="004054B2"/>
    <w:rsid w:val="00407DAD"/>
    <w:rsid w:val="00412638"/>
    <w:rsid w:val="0041446B"/>
    <w:rsid w:val="00416724"/>
    <w:rsid w:val="00417396"/>
    <w:rsid w:val="00431319"/>
    <w:rsid w:val="004324EA"/>
    <w:rsid w:val="0043639A"/>
    <w:rsid w:val="004370F3"/>
    <w:rsid w:val="0044071E"/>
    <w:rsid w:val="0044329C"/>
    <w:rsid w:val="004439F8"/>
    <w:rsid w:val="00445666"/>
    <w:rsid w:val="00453E24"/>
    <w:rsid w:val="00457456"/>
    <w:rsid w:val="004577FE"/>
    <w:rsid w:val="00457B9C"/>
    <w:rsid w:val="0046164A"/>
    <w:rsid w:val="004628D2"/>
    <w:rsid w:val="00462DCD"/>
    <w:rsid w:val="004648AD"/>
    <w:rsid w:val="004703A9"/>
    <w:rsid w:val="00474630"/>
    <w:rsid w:val="004760DE"/>
    <w:rsid w:val="004761E9"/>
    <w:rsid w:val="004763D7"/>
    <w:rsid w:val="004836EF"/>
    <w:rsid w:val="004841E2"/>
    <w:rsid w:val="004A004E"/>
    <w:rsid w:val="004A1855"/>
    <w:rsid w:val="004A24CF"/>
    <w:rsid w:val="004A5873"/>
    <w:rsid w:val="004A6134"/>
    <w:rsid w:val="004B3981"/>
    <w:rsid w:val="004C1063"/>
    <w:rsid w:val="004C3D1D"/>
    <w:rsid w:val="004C3D84"/>
    <w:rsid w:val="004C7913"/>
    <w:rsid w:val="004D359B"/>
    <w:rsid w:val="004E258B"/>
    <w:rsid w:val="004E4DD6"/>
    <w:rsid w:val="004E4DFF"/>
    <w:rsid w:val="004F1BBC"/>
    <w:rsid w:val="004F2125"/>
    <w:rsid w:val="004F5E36"/>
    <w:rsid w:val="00503F3F"/>
    <w:rsid w:val="00507B47"/>
    <w:rsid w:val="00507BEF"/>
    <w:rsid w:val="00507CC9"/>
    <w:rsid w:val="005119A5"/>
    <w:rsid w:val="00516AAC"/>
    <w:rsid w:val="005233B4"/>
    <w:rsid w:val="0052630F"/>
    <w:rsid w:val="005278B7"/>
    <w:rsid w:val="00532016"/>
    <w:rsid w:val="00532ACC"/>
    <w:rsid w:val="00532CD6"/>
    <w:rsid w:val="005346C8"/>
    <w:rsid w:val="00543E7D"/>
    <w:rsid w:val="00547161"/>
    <w:rsid w:val="00547A68"/>
    <w:rsid w:val="005501E6"/>
    <w:rsid w:val="005531C9"/>
    <w:rsid w:val="00557587"/>
    <w:rsid w:val="00570C43"/>
    <w:rsid w:val="00573249"/>
    <w:rsid w:val="00585F19"/>
    <w:rsid w:val="00586E3B"/>
    <w:rsid w:val="00592C43"/>
    <w:rsid w:val="00593668"/>
    <w:rsid w:val="005A248D"/>
    <w:rsid w:val="005A65D9"/>
    <w:rsid w:val="005B2110"/>
    <w:rsid w:val="005B3A7B"/>
    <w:rsid w:val="005B61E6"/>
    <w:rsid w:val="005B6237"/>
    <w:rsid w:val="005C77E1"/>
    <w:rsid w:val="005D3E19"/>
    <w:rsid w:val="005D668A"/>
    <w:rsid w:val="005D6A2F"/>
    <w:rsid w:val="005E1A82"/>
    <w:rsid w:val="005E67AD"/>
    <w:rsid w:val="005E794C"/>
    <w:rsid w:val="005F0A28"/>
    <w:rsid w:val="005F0E5E"/>
    <w:rsid w:val="005F4994"/>
    <w:rsid w:val="00600535"/>
    <w:rsid w:val="00605CE7"/>
    <w:rsid w:val="00607953"/>
    <w:rsid w:val="00610CD6"/>
    <w:rsid w:val="006209DC"/>
    <w:rsid w:val="00620DEE"/>
    <w:rsid w:val="006215FB"/>
    <w:rsid w:val="00621F92"/>
    <w:rsid w:val="0062280A"/>
    <w:rsid w:val="00625639"/>
    <w:rsid w:val="00631B33"/>
    <w:rsid w:val="0064184D"/>
    <w:rsid w:val="006422CC"/>
    <w:rsid w:val="00660E3E"/>
    <w:rsid w:val="00662E74"/>
    <w:rsid w:val="006653FE"/>
    <w:rsid w:val="006670A8"/>
    <w:rsid w:val="00670129"/>
    <w:rsid w:val="00680C23"/>
    <w:rsid w:val="00692627"/>
    <w:rsid w:val="00693766"/>
    <w:rsid w:val="006969D3"/>
    <w:rsid w:val="006A23E9"/>
    <w:rsid w:val="006A3281"/>
    <w:rsid w:val="006B4888"/>
    <w:rsid w:val="006C2E45"/>
    <w:rsid w:val="006C359C"/>
    <w:rsid w:val="006C4805"/>
    <w:rsid w:val="006C5579"/>
    <w:rsid w:val="006C55E6"/>
    <w:rsid w:val="006C79F8"/>
    <w:rsid w:val="006D5FBE"/>
    <w:rsid w:val="006D6315"/>
    <w:rsid w:val="006D6E8B"/>
    <w:rsid w:val="006D7381"/>
    <w:rsid w:val="006D7E8A"/>
    <w:rsid w:val="006E155D"/>
    <w:rsid w:val="006E737D"/>
    <w:rsid w:val="006F583C"/>
    <w:rsid w:val="006F687F"/>
    <w:rsid w:val="00701E11"/>
    <w:rsid w:val="00711FAB"/>
    <w:rsid w:val="00713973"/>
    <w:rsid w:val="00716012"/>
    <w:rsid w:val="00720A24"/>
    <w:rsid w:val="00721F8E"/>
    <w:rsid w:val="00723B26"/>
    <w:rsid w:val="0072447E"/>
    <w:rsid w:val="00724764"/>
    <w:rsid w:val="00732386"/>
    <w:rsid w:val="0073514D"/>
    <w:rsid w:val="0073619E"/>
    <w:rsid w:val="00741AE0"/>
    <w:rsid w:val="007447F3"/>
    <w:rsid w:val="007507FF"/>
    <w:rsid w:val="0075499F"/>
    <w:rsid w:val="007661C8"/>
    <w:rsid w:val="0077098D"/>
    <w:rsid w:val="00776085"/>
    <w:rsid w:val="00785AE5"/>
    <w:rsid w:val="00790375"/>
    <w:rsid w:val="007931FA"/>
    <w:rsid w:val="00795F0D"/>
    <w:rsid w:val="00797C5E"/>
    <w:rsid w:val="007A4861"/>
    <w:rsid w:val="007A7BBA"/>
    <w:rsid w:val="007B0C50"/>
    <w:rsid w:val="007B48F9"/>
    <w:rsid w:val="007B5B1D"/>
    <w:rsid w:val="007C1A05"/>
    <w:rsid w:val="007C1A43"/>
    <w:rsid w:val="007D0951"/>
    <w:rsid w:val="007E62A8"/>
    <w:rsid w:val="007F4F59"/>
    <w:rsid w:val="007F64B0"/>
    <w:rsid w:val="0080013E"/>
    <w:rsid w:val="00805D61"/>
    <w:rsid w:val="00813288"/>
    <w:rsid w:val="008139F4"/>
    <w:rsid w:val="008168FC"/>
    <w:rsid w:val="0082725C"/>
    <w:rsid w:val="00830996"/>
    <w:rsid w:val="008345F1"/>
    <w:rsid w:val="00843EAC"/>
    <w:rsid w:val="008454AC"/>
    <w:rsid w:val="008468B9"/>
    <w:rsid w:val="00865B07"/>
    <w:rsid w:val="008667EA"/>
    <w:rsid w:val="00870D30"/>
    <w:rsid w:val="008758FD"/>
    <w:rsid w:val="0087637F"/>
    <w:rsid w:val="00884873"/>
    <w:rsid w:val="0088492F"/>
    <w:rsid w:val="00886D77"/>
    <w:rsid w:val="00892AD5"/>
    <w:rsid w:val="00894D81"/>
    <w:rsid w:val="008A1512"/>
    <w:rsid w:val="008A20B6"/>
    <w:rsid w:val="008B1A9E"/>
    <w:rsid w:val="008B7C03"/>
    <w:rsid w:val="008C1776"/>
    <w:rsid w:val="008C4F01"/>
    <w:rsid w:val="008C54EB"/>
    <w:rsid w:val="008D32B9"/>
    <w:rsid w:val="008D433B"/>
    <w:rsid w:val="008D4A16"/>
    <w:rsid w:val="008D72D8"/>
    <w:rsid w:val="008E24F3"/>
    <w:rsid w:val="008E566E"/>
    <w:rsid w:val="008E6B5B"/>
    <w:rsid w:val="00900391"/>
    <w:rsid w:val="0090161A"/>
    <w:rsid w:val="00901EB6"/>
    <w:rsid w:val="00902EDA"/>
    <w:rsid w:val="00904C62"/>
    <w:rsid w:val="00905A0D"/>
    <w:rsid w:val="009079AB"/>
    <w:rsid w:val="00915C28"/>
    <w:rsid w:val="00922BA8"/>
    <w:rsid w:val="00923862"/>
    <w:rsid w:val="00924DAC"/>
    <w:rsid w:val="00927058"/>
    <w:rsid w:val="009351DB"/>
    <w:rsid w:val="00942750"/>
    <w:rsid w:val="009450CE"/>
    <w:rsid w:val="009459BB"/>
    <w:rsid w:val="00947179"/>
    <w:rsid w:val="0095164B"/>
    <w:rsid w:val="0095181F"/>
    <w:rsid w:val="00953CEF"/>
    <w:rsid w:val="00954090"/>
    <w:rsid w:val="00956CA5"/>
    <w:rsid w:val="009573E7"/>
    <w:rsid w:val="0096178A"/>
    <w:rsid w:val="00961F49"/>
    <w:rsid w:val="00963E05"/>
    <w:rsid w:val="00964A45"/>
    <w:rsid w:val="00967056"/>
    <w:rsid w:val="00967843"/>
    <w:rsid w:val="00967D54"/>
    <w:rsid w:val="00971028"/>
    <w:rsid w:val="00982C99"/>
    <w:rsid w:val="00985DAA"/>
    <w:rsid w:val="00993125"/>
    <w:rsid w:val="00993B84"/>
    <w:rsid w:val="00994AD4"/>
    <w:rsid w:val="00996483"/>
    <w:rsid w:val="00996F5A"/>
    <w:rsid w:val="009A1CAF"/>
    <w:rsid w:val="009A4BCA"/>
    <w:rsid w:val="009B041A"/>
    <w:rsid w:val="009C31FC"/>
    <w:rsid w:val="009C37C3"/>
    <w:rsid w:val="009C7C86"/>
    <w:rsid w:val="009C7EA6"/>
    <w:rsid w:val="009D2FF7"/>
    <w:rsid w:val="009E3ED6"/>
    <w:rsid w:val="009E7884"/>
    <w:rsid w:val="009E788A"/>
    <w:rsid w:val="009F0E08"/>
    <w:rsid w:val="009F271F"/>
    <w:rsid w:val="00A0569B"/>
    <w:rsid w:val="00A059A2"/>
    <w:rsid w:val="00A06EC9"/>
    <w:rsid w:val="00A13771"/>
    <w:rsid w:val="00A1763D"/>
    <w:rsid w:val="00A17CEC"/>
    <w:rsid w:val="00A21706"/>
    <w:rsid w:val="00A22F8C"/>
    <w:rsid w:val="00A27EF0"/>
    <w:rsid w:val="00A3366D"/>
    <w:rsid w:val="00A41361"/>
    <w:rsid w:val="00A4141C"/>
    <w:rsid w:val="00A42361"/>
    <w:rsid w:val="00A50B20"/>
    <w:rsid w:val="00A51390"/>
    <w:rsid w:val="00A60D13"/>
    <w:rsid w:val="00A64A7A"/>
    <w:rsid w:val="00A700EC"/>
    <w:rsid w:val="00A70351"/>
    <w:rsid w:val="00A70631"/>
    <w:rsid w:val="00A7223D"/>
    <w:rsid w:val="00A72745"/>
    <w:rsid w:val="00A7318F"/>
    <w:rsid w:val="00A767E7"/>
    <w:rsid w:val="00A76EFC"/>
    <w:rsid w:val="00A8690C"/>
    <w:rsid w:val="00A87D50"/>
    <w:rsid w:val="00A91010"/>
    <w:rsid w:val="00A97F29"/>
    <w:rsid w:val="00AA702E"/>
    <w:rsid w:val="00AA7D26"/>
    <w:rsid w:val="00AB0964"/>
    <w:rsid w:val="00AB274D"/>
    <w:rsid w:val="00AB31C9"/>
    <w:rsid w:val="00AB5011"/>
    <w:rsid w:val="00AC2CDC"/>
    <w:rsid w:val="00AC7368"/>
    <w:rsid w:val="00AD16B9"/>
    <w:rsid w:val="00AE24A8"/>
    <w:rsid w:val="00AE377D"/>
    <w:rsid w:val="00AF0EBA"/>
    <w:rsid w:val="00AF4DC9"/>
    <w:rsid w:val="00AF71BC"/>
    <w:rsid w:val="00B026F5"/>
    <w:rsid w:val="00B02C8A"/>
    <w:rsid w:val="00B110D3"/>
    <w:rsid w:val="00B15EBF"/>
    <w:rsid w:val="00B1623D"/>
    <w:rsid w:val="00B17FBD"/>
    <w:rsid w:val="00B2638C"/>
    <w:rsid w:val="00B27ECD"/>
    <w:rsid w:val="00B315A6"/>
    <w:rsid w:val="00B31813"/>
    <w:rsid w:val="00B33365"/>
    <w:rsid w:val="00B45177"/>
    <w:rsid w:val="00B57B36"/>
    <w:rsid w:val="00B57E6F"/>
    <w:rsid w:val="00B8686D"/>
    <w:rsid w:val="00B93F69"/>
    <w:rsid w:val="00BA727D"/>
    <w:rsid w:val="00BB1DDC"/>
    <w:rsid w:val="00BB2863"/>
    <w:rsid w:val="00BB4458"/>
    <w:rsid w:val="00BC1B54"/>
    <w:rsid w:val="00BC30C9"/>
    <w:rsid w:val="00BC3F7E"/>
    <w:rsid w:val="00BD077D"/>
    <w:rsid w:val="00BE3E58"/>
    <w:rsid w:val="00BE4F7C"/>
    <w:rsid w:val="00BE6F6A"/>
    <w:rsid w:val="00BF7208"/>
    <w:rsid w:val="00BF7EA6"/>
    <w:rsid w:val="00C01616"/>
    <w:rsid w:val="00C0162B"/>
    <w:rsid w:val="00C068ED"/>
    <w:rsid w:val="00C12262"/>
    <w:rsid w:val="00C12E25"/>
    <w:rsid w:val="00C22E0C"/>
    <w:rsid w:val="00C240D2"/>
    <w:rsid w:val="00C345B1"/>
    <w:rsid w:val="00C40142"/>
    <w:rsid w:val="00C523EE"/>
    <w:rsid w:val="00C52C3C"/>
    <w:rsid w:val="00C57182"/>
    <w:rsid w:val="00C57863"/>
    <w:rsid w:val="00C640AF"/>
    <w:rsid w:val="00C655FD"/>
    <w:rsid w:val="00C7255E"/>
    <w:rsid w:val="00C72988"/>
    <w:rsid w:val="00C75407"/>
    <w:rsid w:val="00C870A8"/>
    <w:rsid w:val="00C87966"/>
    <w:rsid w:val="00C94434"/>
    <w:rsid w:val="00C96246"/>
    <w:rsid w:val="00CA03D5"/>
    <w:rsid w:val="00CA0D4A"/>
    <w:rsid w:val="00CA0D75"/>
    <w:rsid w:val="00CA1C95"/>
    <w:rsid w:val="00CA5A9C"/>
    <w:rsid w:val="00CC0378"/>
    <w:rsid w:val="00CC4C20"/>
    <w:rsid w:val="00CD1C51"/>
    <w:rsid w:val="00CD3517"/>
    <w:rsid w:val="00CD5FE2"/>
    <w:rsid w:val="00CE05C9"/>
    <w:rsid w:val="00CE7C68"/>
    <w:rsid w:val="00CF19D2"/>
    <w:rsid w:val="00D02B4C"/>
    <w:rsid w:val="00D03649"/>
    <w:rsid w:val="00D040C4"/>
    <w:rsid w:val="00D10159"/>
    <w:rsid w:val="00D1626F"/>
    <w:rsid w:val="00D20AD1"/>
    <w:rsid w:val="00D33467"/>
    <w:rsid w:val="00D379E3"/>
    <w:rsid w:val="00D46B7E"/>
    <w:rsid w:val="00D57C84"/>
    <w:rsid w:val="00D6057D"/>
    <w:rsid w:val="00D648EC"/>
    <w:rsid w:val="00D71640"/>
    <w:rsid w:val="00D741C8"/>
    <w:rsid w:val="00D836C5"/>
    <w:rsid w:val="00D84576"/>
    <w:rsid w:val="00D93819"/>
    <w:rsid w:val="00D971DC"/>
    <w:rsid w:val="00DA1399"/>
    <w:rsid w:val="00DA24C6"/>
    <w:rsid w:val="00DA4D7B"/>
    <w:rsid w:val="00DA5D2D"/>
    <w:rsid w:val="00DA7E6E"/>
    <w:rsid w:val="00DB2FE3"/>
    <w:rsid w:val="00DB5257"/>
    <w:rsid w:val="00DB537A"/>
    <w:rsid w:val="00DC2768"/>
    <w:rsid w:val="00DD0AE7"/>
    <w:rsid w:val="00DD271C"/>
    <w:rsid w:val="00DD77BF"/>
    <w:rsid w:val="00DE264A"/>
    <w:rsid w:val="00DE2D76"/>
    <w:rsid w:val="00DE5B0E"/>
    <w:rsid w:val="00DE7A52"/>
    <w:rsid w:val="00DF3603"/>
    <w:rsid w:val="00DF36F3"/>
    <w:rsid w:val="00DF5072"/>
    <w:rsid w:val="00E02D18"/>
    <w:rsid w:val="00E041E7"/>
    <w:rsid w:val="00E2037D"/>
    <w:rsid w:val="00E21332"/>
    <w:rsid w:val="00E23CA1"/>
    <w:rsid w:val="00E33DD7"/>
    <w:rsid w:val="00E35C37"/>
    <w:rsid w:val="00E409A8"/>
    <w:rsid w:val="00E43B79"/>
    <w:rsid w:val="00E447A4"/>
    <w:rsid w:val="00E45202"/>
    <w:rsid w:val="00E45B5B"/>
    <w:rsid w:val="00E50C12"/>
    <w:rsid w:val="00E51863"/>
    <w:rsid w:val="00E51AAC"/>
    <w:rsid w:val="00E52EBE"/>
    <w:rsid w:val="00E65B91"/>
    <w:rsid w:val="00E7209D"/>
    <w:rsid w:val="00E726DD"/>
    <w:rsid w:val="00E72EAD"/>
    <w:rsid w:val="00E77223"/>
    <w:rsid w:val="00E802F9"/>
    <w:rsid w:val="00E8528B"/>
    <w:rsid w:val="00E85B94"/>
    <w:rsid w:val="00E978D0"/>
    <w:rsid w:val="00EA4613"/>
    <w:rsid w:val="00EA4CEA"/>
    <w:rsid w:val="00EA5E3D"/>
    <w:rsid w:val="00EA5EE5"/>
    <w:rsid w:val="00EA7F91"/>
    <w:rsid w:val="00EB07B4"/>
    <w:rsid w:val="00EB1523"/>
    <w:rsid w:val="00EC0E49"/>
    <w:rsid w:val="00EC101F"/>
    <w:rsid w:val="00EC1308"/>
    <w:rsid w:val="00EC1D9F"/>
    <w:rsid w:val="00EC715A"/>
    <w:rsid w:val="00ED4019"/>
    <w:rsid w:val="00EE0131"/>
    <w:rsid w:val="00EE17B0"/>
    <w:rsid w:val="00EF06D9"/>
    <w:rsid w:val="00EF622A"/>
    <w:rsid w:val="00F1612D"/>
    <w:rsid w:val="00F3049E"/>
    <w:rsid w:val="00F30C64"/>
    <w:rsid w:val="00F32BA2"/>
    <w:rsid w:val="00F32CDB"/>
    <w:rsid w:val="00F406BD"/>
    <w:rsid w:val="00F43E84"/>
    <w:rsid w:val="00F44949"/>
    <w:rsid w:val="00F46FF6"/>
    <w:rsid w:val="00F47411"/>
    <w:rsid w:val="00F50256"/>
    <w:rsid w:val="00F503A8"/>
    <w:rsid w:val="00F55F20"/>
    <w:rsid w:val="00F565FE"/>
    <w:rsid w:val="00F57944"/>
    <w:rsid w:val="00F607EB"/>
    <w:rsid w:val="00F6163A"/>
    <w:rsid w:val="00F63A70"/>
    <w:rsid w:val="00F63D8C"/>
    <w:rsid w:val="00F7534E"/>
    <w:rsid w:val="00F80C45"/>
    <w:rsid w:val="00F81E44"/>
    <w:rsid w:val="00F81FDB"/>
    <w:rsid w:val="00F92CD7"/>
    <w:rsid w:val="00F93EDF"/>
    <w:rsid w:val="00FA1802"/>
    <w:rsid w:val="00FA21D0"/>
    <w:rsid w:val="00FA42DD"/>
    <w:rsid w:val="00FA5F5F"/>
    <w:rsid w:val="00FB073F"/>
    <w:rsid w:val="00FB0C60"/>
    <w:rsid w:val="00FB71D3"/>
    <w:rsid w:val="00FB730C"/>
    <w:rsid w:val="00FC2695"/>
    <w:rsid w:val="00FC3E03"/>
    <w:rsid w:val="00FC3FC1"/>
    <w:rsid w:val="00FE4CD5"/>
    <w:rsid w:val="00FF7B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rules v:ext="edit">
        <o:r id="V:Rule7" type="connector" idref="#_x0000_s1105"/>
        <o:r id="V:Rule8" type="connector" idref="#_x0000_s1127"/>
        <o:r id="V:Rule9" type="connector" idref="#_x0000_s1125"/>
        <o:r id="V:Rule10" type="connector" idref="#_x0000_s1126"/>
        <o:r id="V:Rule11" type="connector" idref="#_x0000_s1123"/>
        <o:r id="V:Rule12" type="connector" idref="#_x0000_s11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CET Top_page"/>
    <w:rsid w:val="00620DEE"/>
    <w:pPr>
      <w:tabs>
        <w:tab w:val="right" w:pos="7100"/>
      </w:tabs>
      <w:spacing w:line="264" w:lineRule="auto"/>
      <w:jc w:val="both"/>
    </w:pPr>
    <w:rPr>
      <w:rFonts w:ascii="Arial" w:eastAsia="Times New Roman" w:hAnsi="Arial"/>
      <w:sz w:val="18"/>
      <w:lang w:val="en-GB" w:eastAsia="en-US"/>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Cambria" w:eastAsia="SimSun" w:hAnsi="Cambria"/>
      <w:b/>
      <w:bCs/>
      <w:color w:val="4F81BD"/>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Cambria" w:eastAsia="SimSun" w:hAnsi="Cambria"/>
      <w:b/>
      <w:bCs/>
      <w:color w:val="4F81BD"/>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Cambria" w:eastAsia="SimSun" w:hAnsi="Cambria"/>
      <w:b/>
      <w:bCs/>
      <w:i/>
      <w:iCs/>
      <w:color w:val="4F81BD"/>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Cambria" w:eastAsia="SimSun" w:hAnsi="Cambria"/>
      <w:color w:val="243F60"/>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Cambria" w:eastAsia="SimSun" w:hAnsi="Cambria"/>
      <w:i/>
      <w:iCs/>
      <w:color w:val="243F60"/>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Cambria" w:eastAsia="SimSun" w:hAnsi="Cambria"/>
      <w:i/>
      <w:iCs/>
      <w:color w:val="404040"/>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Cambria" w:eastAsia="SimSun" w:hAnsi="Cambria"/>
      <w:color w:val="404040"/>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Cambria" w:eastAsia="SimSun"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sz w:val="32"/>
      <w:lang w:val="en-GB" w:eastAsia="en-US"/>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pPr>
    <w:rPr>
      <w:rFonts w:ascii="Arial" w:eastAsia="Times New Roman" w:hAnsi="Arial"/>
      <w:b/>
      <w:lang w:val="en-US" w:eastAsia="en-US"/>
    </w:rPr>
  </w:style>
  <w:style w:type="paragraph" w:customStyle="1" w:styleId="CETBodytext">
    <w:name w:val="CET Body text"/>
    <w:link w:val="CETBodytextCarattere"/>
    <w:qFormat/>
    <w:rsid w:val="000E414A"/>
    <w:pPr>
      <w:tabs>
        <w:tab w:val="right" w:pos="7100"/>
      </w:tabs>
      <w:spacing w:line="264" w:lineRule="auto"/>
      <w:jc w:val="both"/>
    </w:pPr>
    <w:rPr>
      <w:rFonts w:ascii="Arial" w:eastAsia="Times New Roman" w:hAnsi="Arial"/>
      <w:sz w:val="18"/>
      <w:lang w:val="en-US" w:eastAsia="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pPr>
    <w:rPr>
      <w:rFonts w:ascii="Arial" w:eastAsia="Times New Roman" w:hAnsi="Arial"/>
      <w:b/>
      <w:sz w:val="18"/>
      <w:lang w:val="en-US" w:eastAsia="en-US"/>
    </w:rPr>
  </w:style>
  <w:style w:type="paragraph" w:customStyle="1" w:styleId="CETAddress">
    <w:name w:val="CET Address"/>
    <w:link w:val="CETAddressCarattere"/>
    <w:qFormat/>
    <w:rsid w:val="009E788A"/>
    <w:pPr>
      <w:keepNext/>
      <w:suppressAutoHyphens/>
      <w:spacing w:line="276" w:lineRule="auto"/>
      <w:contextualSpacing/>
    </w:pPr>
    <w:rPr>
      <w:rFonts w:ascii="Arial" w:eastAsia="Times New Roman" w:hAnsi="Arial"/>
      <w:noProof/>
      <w:sz w:val="16"/>
      <w:lang w:val="en-GB" w:eastAsia="en-US"/>
    </w:rPr>
  </w:style>
  <w:style w:type="table" w:styleId="Tabelasimples1">
    <w:name w:val="Table Simple 1"/>
    <w:basedOn w:val="Tabelanormal"/>
    <w:semiHidden/>
    <w:rsid w:val="000E414A"/>
    <w:pPr>
      <w:numPr>
        <w:ilvl w:val="3"/>
        <w:numId w:val="1"/>
      </w:numPr>
      <w:spacing w:line="264" w:lineRule="auto"/>
      <w:jc w:val="both"/>
    </w:pPr>
    <w:rPr>
      <w:rFonts w:ascii="Times New Roman" w:eastAsia="Times New Roman" w:hAnsi="Times New Roman"/>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pPr>
    <w:rPr>
      <w:rFonts w:ascii="Arial" w:eastAsia="Times New Roman" w:hAnsi="Arial"/>
      <w:b/>
      <w:sz w:val="18"/>
      <w:lang w:val="en-GB" w:eastAsia="en-US"/>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i/>
      <w:sz w:val="18"/>
      <w:lang w:val="en-GB" w:eastAsia="en-US"/>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Cambria" w:eastAsia="SimSun" w:hAnsi="Cambria"/>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Cambria" w:eastAsia="SimSun" w:hAnsi="Cambria"/>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SimSun" w:hAnsi="Cambria"/>
      <w:sz w:val="24"/>
      <w:szCs w:val="24"/>
    </w:rPr>
  </w:style>
  <w:style w:type="character" w:customStyle="1" w:styleId="CabealhodamensagemChar">
    <w:name w:val="Cabeçalho da mensagem Char"/>
    <w:link w:val="Cabealhodamensagem"/>
    <w:uiPriority w:val="99"/>
    <w:semiHidden/>
    <w:rsid w:val="0003148D"/>
    <w:rPr>
      <w:rFonts w:ascii="Cambria" w:eastAsia="SimSun" w:hAnsi="Cambria" w:cs="Times New Roman"/>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left w:val="single" w:sz="2" w:space="10" w:color="4F81BD"/>
        <w:bottom w:val="single" w:sz="2" w:space="10" w:color="4F81BD"/>
        <w:right w:val="single" w:sz="2" w:space="10" w:color="4F81BD"/>
      </w:pBdr>
      <w:ind w:left="1152" w:right="1152"/>
    </w:pPr>
    <w:rPr>
      <w:rFonts w:eastAsia="SimSun"/>
      <w:i/>
      <w:iCs/>
      <w:color w:val="4F81BD"/>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Consolas"/>
      <w:lang w:val="it-IT" w:eastAsia="en-US"/>
    </w:rPr>
  </w:style>
  <w:style w:type="character" w:customStyle="1" w:styleId="TextodemacroChar">
    <w:name w:val="Texto de macro Char"/>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link w:val="Textodenotadefim"/>
    <w:uiPriority w:val="99"/>
    <w:semiHidden/>
    <w:rsid w:val="0003148D"/>
    <w:rPr>
      <w:sz w:val="20"/>
      <w:szCs w:val="20"/>
    </w:rPr>
  </w:style>
  <w:style w:type="character" w:customStyle="1" w:styleId="Ttulo1Char">
    <w:name w:val="Título 1 Char"/>
    <w:link w:val="Ttulo1"/>
    <w:uiPriority w:val="9"/>
    <w:rsid w:val="004F5E36"/>
    <w:rPr>
      <w:rFonts w:ascii="Arial" w:eastAsia="Times New Roman" w:hAnsi="Arial" w:cs="Times New Roman"/>
      <w:b/>
      <w:sz w:val="20"/>
      <w:szCs w:val="20"/>
      <w:lang w:val="en-GB"/>
    </w:rPr>
  </w:style>
  <w:style w:type="character" w:customStyle="1" w:styleId="Ttulo2Char">
    <w:name w:val="Título 2 Char"/>
    <w:link w:val="Ttulo2"/>
    <w:uiPriority w:val="9"/>
    <w:semiHidden/>
    <w:rsid w:val="0003148D"/>
    <w:rPr>
      <w:rFonts w:ascii="Cambria" w:eastAsia="SimSun" w:hAnsi="Cambria" w:cs="Times New Roman"/>
      <w:b/>
      <w:bCs/>
      <w:color w:val="4F81BD"/>
      <w:sz w:val="26"/>
      <w:szCs w:val="26"/>
    </w:rPr>
  </w:style>
  <w:style w:type="character" w:customStyle="1" w:styleId="Ttulo3Char">
    <w:name w:val="Título 3 Char"/>
    <w:link w:val="Ttulo3"/>
    <w:uiPriority w:val="9"/>
    <w:semiHidden/>
    <w:rsid w:val="0003148D"/>
    <w:rPr>
      <w:rFonts w:ascii="Cambria" w:eastAsia="SimSun" w:hAnsi="Cambria" w:cs="Times New Roman"/>
      <w:b/>
      <w:bCs/>
      <w:color w:val="4F81BD"/>
    </w:rPr>
  </w:style>
  <w:style w:type="character" w:customStyle="1" w:styleId="Ttulo4Char">
    <w:name w:val="Título 4 Char"/>
    <w:link w:val="Ttulo4"/>
    <w:uiPriority w:val="9"/>
    <w:semiHidden/>
    <w:rsid w:val="0003148D"/>
    <w:rPr>
      <w:rFonts w:ascii="Cambria" w:eastAsia="SimSun" w:hAnsi="Cambria" w:cs="Times New Roman"/>
      <w:b/>
      <w:bCs/>
      <w:i/>
      <w:iCs/>
      <w:color w:val="4F81BD"/>
    </w:rPr>
  </w:style>
  <w:style w:type="character" w:customStyle="1" w:styleId="Ttulo5Char">
    <w:name w:val="Título 5 Char"/>
    <w:link w:val="Ttulo5"/>
    <w:uiPriority w:val="9"/>
    <w:semiHidden/>
    <w:rsid w:val="0003148D"/>
    <w:rPr>
      <w:rFonts w:ascii="Cambria" w:eastAsia="SimSun" w:hAnsi="Cambria" w:cs="Times New Roman"/>
      <w:color w:val="243F60"/>
    </w:rPr>
  </w:style>
  <w:style w:type="character" w:customStyle="1" w:styleId="Ttulo6Char">
    <w:name w:val="Título 6 Char"/>
    <w:link w:val="Ttulo6"/>
    <w:uiPriority w:val="9"/>
    <w:semiHidden/>
    <w:rsid w:val="0003148D"/>
    <w:rPr>
      <w:rFonts w:ascii="Cambria" w:eastAsia="SimSun" w:hAnsi="Cambria" w:cs="Times New Roman"/>
      <w:i/>
      <w:iCs/>
      <w:color w:val="243F60"/>
    </w:rPr>
  </w:style>
  <w:style w:type="character" w:customStyle="1" w:styleId="Ttulo7Char">
    <w:name w:val="Título 7 Char"/>
    <w:link w:val="Ttulo7"/>
    <w:uiPriority w:val="9"/>
    <w:semiHidden/>
    <w:rsid w:val="0003148D"/>
    <w:rPr>
      <w:rFonts w:ascii="Cambria" w:eastAsia="SimSun" w:hAnsi="Cambria" w:cs="Times New Roman"/>
      <w:i/>
      <w:iCs/>
      <w:color w:val="404040"/>
    </w:rPr>
  </w:style>
  <w:style w:type="character" w:customStyle="1" w:styleId="Ttulo8Char">
    <w:name w:val="Título 8 Char"/>
    <w:link w:val="Ttulo8"/>
    <w:uiPriority w:val="9"/>
    <w:semiHidden/>
    <w:rsid w:val="0003148D"/>
    <w:rPr>
      <w:rFonts w:ascii="Cambria" w:eastAsia="SimSun" w:hAnsi="Cambria" w:cs="Times New Roman"/>
      <w:color w:val="404040"/>
      <w:sz w:val="20"/>
      <w:szCs w:val="20"/>
    </w:rPr>
  </w:style>
  <w:style w:type="character" w:customStyle="1" w:styleId="Ttulo9Char">
    <w:name w:val="Título 9 Char"/>
    <w:link w:val="Ttulo9"/>
    <w:uiPriority w:val="9"/>
    <w:semiHidden/>
    <w:rsid w:val="0003148D"/>
    <w:rPr>
      <w:rFonts w:ascii="Cambria" w:eastAsia="SimSun" w:hAnsi="Cambria" w:cs="Times New Roman"/>
      <w:i/>
      <w:iCs/>
      <w:color w:val="404040"/>
      <w:sz w:val="20"/>
      <w:szCs w:val="20"/>
    </w:rPr>
  </w:style>
  <w:style w:type="paragraph" w:styleId="Ttulodendiceremissivo">
    <w:name w:val="index heading"/>
    <w:basedOn w:val="Normal"/>
    <w:next w:val="Remissivo1"/>
    <w:uiPriority w:val="99"/>
    <w:semiHidden/>
    <w:unhideWhenUsed/>
    <w:rsid w:val="0003148D"/>
    <w:rPr>
      <w:rFonts w:ascii="Cambria" w:eastAsia="SimSun" w:hAnsi="Cambria"/>
      <w:b/>
      <w:bCs/>
    </w:rPr>
  </w:style>
  <w:style w:type="paragraph" w:styleId="Ttulodendicedeautoridades">
    <w:name w:val="toa heading"/>
    <w:basedOn w:val="Normal"/>
    <w:next w:val="Normal"/>
    <w:uiPriority w:val="99"/>
    <w:semiHidden/>
    <w:unhideWhenUsed/>
    <w:rsid w:val="0003148D"/>
    <w:pPr>
      <w:spacing w:before="120"/>
    </w:pPr>
    <w:rPr>
      <w:rFonts w:ascii="Cambria" w:eastAsia="SimSun" w:hAnsi="Cambria"/>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line="276" w:lineRule="auto"/>
    </w:pPr>
    <w:rPr>
      <w:rFonts w:ascii="Arial" w:eastAsia="Times New Roman" w:hAnsi="Arial"/>
      <w:noProof/>
      <w:sz w:val="16"/>
      <w:lang w:val="en-GB" w:eastAsia="en-US"/>
    </w:rPr>
  </w:style>
  <w:style w:type="character" w:customStyle="1" w:styleId="CETAddressCarattere">
    <w:name w:val="CET Address Carattere"/>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line="264" w:lineRule="auto"/>
    </w:pPr>
    <w:rPr>
      <w:rFonts w:ascii="Arial" w:eastAsia="Times New Roman" w:hAnsi="Arial"/>
      <w:sz w:val="18"/>
      <w:lang w:val="en-GB" w:eastAsia="en-US"/>
    </w:rPr>
  </w:style>
  <w:style w:type="paragraph" w:customStyle="1" w:styleId="CETnumbering1">
    <w:name w:val="CET numbering (1"/>
    <w:aliases w:val="2..)"/>
    <w:rsid w:val="00B57B36"/>
    <w:pPr>
      <w:numPr>
        <w:numId w:val="14"/>
      </w:numPr>
      <w:spacing w:line="264" w:lineRule="auto"/>
      <w:ind w:left="340" w:hanging="227"/>
    </w:pPr>
    <w:rPr>
      <w:rFonts w:ascii="Arial" w:eastAsia="Times New Roman" w:hAnsi="Arial"/>
      <w:sz w:val="18"/>
      <w:lang w:val="en-US" w:eastAsia="en-US"/>
    </w:rPr>
  </w:style>
  <w:style w:type="paragraph" w:customStyle="1" w:styleId="CETnumberinga">
    <w:name w:val="CET numbering (a"/>
    <w:aliases w:val="b,..)"/>
    <w:rsid w:val="00B57B36"/>
    <w:pPr>
      <w:numPr>
        <w:numId w:val="15"/>
      </w:numPr>
      <w:spacing w:line="264" w:lineRule="auto"/>
    </w:pPr>
    <w:rPr>
      <w:rFonts w:ascii="Arial" w:eastAsia="Times New Roman" w:hAnsi="Arial"/>
      <w:sz w:val="18"/>
      <w:lang w:val="en-GB" w:eastAsia="en-US"/>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904C62"/>
    <w:rPr>
      <w:color w:val="0000FF"/>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line="264" w:lineRule="auto"/>
      <w:ind w:left="340" w:hanging="227"/>
      <w:jc w:val="both"/>
    </w:pPr>
    <w:rPr>
      <w:rFonts w:ascii="Arial" w:eastAsia="Times New Roman" w:hAnsi="Arial"/>
      <w:sz w:val="18"/>
      <w:lang w:val="en-GB" w:eastAsia="en-US"/>
    </w:rPr>
  </w:style>
  <w:style w:type="paragraph" w:customStyle="1" w:styleId="CETReferencetext">
    <w:name w:val="CET Reference text"/>
    <w:qFormat/>
    <w:rsid w:val="00600535"/>
    <w:pPr>
      <w:spacing w:line="264" w:lineRule="auto"/>
      <w:ind w:left="284" w:hanging="284"/>
      <w:jc w:val="both"/>
    </w:pPr>
    <w:rPr>
      <w:rFonts w:ascii="Arial" w:eastAsia="Times New Roman" w:hAnsi="Arial"/>
      <w:sz w:val="18"/>
      <w:lang w:val="en-GB" w:eastAsia="en-US"/>
    </w:rPr>
  </w:style>
  <w:style w:type="paragraph" w:customStyle="1" w:styleId="CETTabletitle">
    <w:name w:val="CET Table title"/>
    <w:qFormat/>
    <w:rsid w:val="00600535"/>
    <w:pPr>
      <w:keepNext/>
      <w:spacing w:before="240" w:after="80" w:line="240" w:lineRule="exact"/>
    </w:pPr>
    <w:rPr>
      <w:rFonts w:ascii="Arial" w:eastAsia="Times New Roman" w:hAnsi="Arial"/>
      <w:i/>
      <w:sz w:val="18"/>
      <w:lang w:val="en-GB" w:eastAsia="en-US"/>
    </w:rPr>
  </w:style>
  <w:style w:type="paragraph" w:customStyle="1" w:styleId="CETAcknowledgementstitle">
    <w:name w:val="CET Acknowledgements title"/>
    <w:next w:val="CETBodytext"/>
    <w:qFormat/>
    <w:rsid w:val="00600535"/>
    <w:pPr>
      <w:spacing w:before="200" w:after="120" w:line="276" w:lineRule="auto"/>
    </w:pPr>
    <w:rPr>
      <w:rFonts w:ascii="Arial" w:eastAsia="Times New Roman" w:hAnsi="Arial"/>
      <w:b/>
      <w:sz w:val="18"/>
      <w:lang w:val="en-GB" w:eastAsia="en-US"/>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link w:val="CETHeadingxx"/>
    <w:rsid w:val="000F787B"/>
    <w:rPr>
      <w:rFonts w:ascii="Arial" w:eastAsia="Times New Roman" w:hAnsi="Arial" w:cs="Times New Roman"/>
      <w:b/>
      <w:sz w:val="18"/>
      <w:szCs w:val="20"/>
      <w:lang w:val="en-US"/>
    </w:rPr>
  </w:style>
  <w:style w:type="paragraph" w:styleId="PargrafodaLista">
    <w:name w:val="List Paragraph"/>
    <w:basedOn w:val="Normal"/>
    <w:uiPriority w:val="34"/>
    <w:rsid w:val="00280FAF"/>
    <w:pPr>
      <w:ind w:left="720"/>
      <w:contextualSpacing/>
    </w:pPr>
  </w:style>
  <w:style w:type="character" w:styleId="TextodoEspaoReservado">
    <w:name w:val="Placeholder Text"/>
    <w:uiPriority w:val="99"/>
    <w:semiHidden/>
    <w:rsid w:val="00785AE5"/>
    <w:rPr>
      <w:color w:val="808080"/>
    </w:rPr>
  </w:style>
  <w:style w:type="character" w:customStyle="1" w:styleId="MenoPendente1">
    <w:name w:val="Menção Pendente1"/>
    <w:uiPriority w:val="99"/>
    <w:semiHidden/>
    <w:unhideWhenUsed/>
    <w:rsid w:val="0018426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3717335">
      <w:bodyDiv w:val="1"/>
      <w:marLeft w:val="0"/>
      <w:marRight w:val="0"/>
      <w:marTop w:val="0"/>
      <w:marBottom w:val="0"/>
      <w:divBdr>
        <w:top w:val="none" w:sz="0" w:space="0" w:color="auto"/>
        <w:left w:val="none" w:sz="0" w:space="0" w:color="auto"/>
        <w:bottom w:val="none" w:sz="0" w:space="0" w:color="auto"/>
        <w:right w:val="none" w:sz="0" w:space="0" w:color="auto"/>
      </w:divBdr>
    </w:div>
    <w:div w:id="206919265">
      <w:bodyDiv w:val="1"/>
      <w:marLeft w:val="0"/>
      <w:marRight w:val="0"/>
      <w:marTop w:val="0"/>
      <w:marBottom w:val="0"/>
      <w:divBdr>
        <w:top w:val="none" w:sz="0" w:space="0" w:color="auto"/>
        <w:left w:val="none" w:sz="0" w:space="0" w:color="auto"/>
        <w:bottom w:val="none" w:sz="0" w:space="0" w:color="auto"/>
        <w:right w:val="none" w:sz="0" w:space="0" w:color="auto"/>
      </w:divBdr>
    </w:div>
    <w:div w:id="59370734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2231525">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74B02-EABE-496A-BFAF-B7EBF3264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6</Pages>
  <Words>2892</Words>
  <Characters>15622</Characters>
  <Application>Microsoft Office Word</Application>
  <DocSecurity>0</DocSecurity>
  <Lines>130</Lines>
  <Paragraphs>36</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18478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Reginaldo</cp:lastModifiedBy>
  <cp:revision>20</cp:revision>
  <cp:lastPrinted>2024-03-01T11:56:00Z</cp:lastPrinted>
  <dcterms:created xsi:type="dcterms:W3CDTF">2024-02-29T22:30:00Z</dcterms:created>
  <dcterms:modified xsi:type="dcterms:W3CDTF">2024-03-01T13:31:00Z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1317d37ccb01c335e065641a7188394a019623f902ba95313419b8063bf1b423</vt:lpwstr>
  </property>
</Properties>
</file>